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9"/>
        <w:rPr>
          <w:rFonts w:ascii="方正小标宋简体" w:hAnsi="宋体" w:eastAsia="方正小标宋简体"/>
          <w:color w:val="auto"/>
          <w:sz w:val="72"/>
          <w:szCs w:val="72"/>
          <w:highlight w:val="none"/>
        </w:rPr>
      </w:pPr>
      <w:bookmarkStart w:id="0" w:name="_Toc15377193"/>
      <w:bookmarkStart w:id="1" w:name="_Toc15396475"/>
      <w:bookmarkStart w:id="2" w:name="_Toc15396597"/>
      <w:bookmarkStart w:id="3" w:name="_Toc15378441"/>
      <w:bookmarkStart w:id="4" w:name="_Toc15377425"/>
      <w:bookmarkStart w:id="5" w:name="_Toc15306267"/>
    </w:p>
    <w:p>
      <w:pPr>
        <w:spacing w:line="600" w:lineRule="exact"/>
        <w:jc w:val="center"/>
        <w:outlineLvl w:val="9"/>
        <w:rPr>
          <w:rFonts w:ascii="方正小标宋简体" w:hAnsi="宋体" w:eastAsia="方正小标宋简体"/>
          <w:color w:val="auto"/>
          <w:sz w:val="72"/>
          <w:szCs w:val="72"/>
          <w:highlight w:val="none"/>
        </w:rPr>
      </w:pPr>
    </w:p>
    <w:p>
      <w:pPr>
        <w:spacing w:line="600" w:lineRule="exact"/>
        <w:jc w:val="center"/>
        <w:outlineLvl w:val="9"/>
        <w:rPr>
          <w:rFonts w:ascii="方正小标宋简体" w:hAnsi="宋体" w:eastAsia="方正小标宋简体"/>
          <w:color w:val="auto"/>
          <w:sz w:val="72"/>
          <w:szCs w:val="72"/>
          <w:highlight w:val="none"/>
        </w:rPr>
      </w:pPr>
    </w:p>
    <w:p>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6" w:name="_Toc24636"/>
      <w:r>
        <w:rPr>
          <w:rFonts w:hint="eastAsia" w:ascii="方正小标宋简体" w:hAnsi="方正小标宋简体" w:eastAsia="方正小标宋简体" w:cs="方正小标宋简体"/>
          <w:color w:val="auto"/>
          <w:sz w:val="72"/>
          <w:szCs w:val="72"/>
          <w:highlight w:val="none"/>
        </w:rPr>
        <w:t>20</w:t>
      </w:r>
      <w:r>
        <w:rPr>
          <w:rFonts w:hint="eastAsia" w:ascii="方正小标宋简体" w:hAnsi="方正小标宋简体" w:eastAsia="方正小标宋简体" w:cs="方正小标宋简体"/>
          <w:color w:val="auto"/>
          <w:sz w:val="72"/>
          <w:szCs w:val="72"/>
          <w:highlight w:val="none"/>
          <w:lang w:val="en-US" w:eastAsia="zh-CN"/>
        </w:rPr>
        <w:t>22</w:t>
      </w:r>
      <w:r>
        <w:rPr>
          <w:rFonts w:hint="eastAsia" w:ascii="方正小标宋简体" w:hAnsi="方正小标宋简体" w:eastAsia="方正小标宋简体" w:cs="方正小标宋简体"/>
          <w:color w:val="auto"/>
          <w:sz w:val="72"/>
          <w:szCs w:val="72"/>
          <w:highlight w:val="none"/>
        </w:rPr>
        <w:t>年度</w:t>
      </w:r>
      <w:bookmarkEnd w:id="0"/>
      <w:bookmarkEnd w:id="1"/>
      <w:bookmarkEnd w:id="2"/>
      <w:bookmarkEnd w:id="3"/>
      <w:bookmarkEnd w:id="4"/>
      <w:bookmarkEnd w:id="6"/>
    </w:p>
    <w:p>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7" w:name="_Toc15377194"/>
      <w:bookmarkStart w:id="8" w:name="_Toc15377426"/>
      <w:bookmarkStart w:id="9" w:name="_Toc15396598"/>
      <w:bookmarkStart w:id="10" w:name="_Toc1710"/>
      <w:bookmarkStart w:id="11" w:name="_Toc15396476"/>
      <w:bookmarkStart w:id="12" w:name="_Toc15378442"/>
      <w:r>
        <w:rPr>
          <w:rFonts w:hint="eastAsia" w:ascii="方正小标宋简体" w:hAnsi="方正小标宋简体" w:eastAsia="方正小标宋简体" w:cs="方正小标宋简体"/>
          <w:color w:val="auto"/>
          <w:sz w:val="72"/>
          <w:szCs w:val="72"/>
          <w:highlight w:val="none"/>
          <w:lang w:val="en-US" w:eastAsia="zh-CN"/>
        </w:rPr>
        <w:t>巴中市</w:t>
      </w:r>
      <w:bookmarkEnd w:id="5"/>
      <w:bookmarkStart w:id="13" w:name="_Toc15306268"/>
      <w:r>
        <w:rPr>
          <w:rFonts w:hint="eastAsia" w:ascii="方正小标宋简体" w:hAnsi="方正小标宋简体" w:eastAsia="方正小标宋简体" w:cs="方正小标宋简体"/>
          <w:b w:val="0"/>
          <w:bCs w:val="0"/>
          <w:color w:val="auto"/>
          <w:sz w:val="72"/>
          <w:szCs w:val="72"/>
          <w:highlight w:val="none"/>
          <w:lang w:val="en-US" w:eastAsia="zh-CN"/>
        </w:rPr>
        <w:t>产品质量检验检测中心</w:t>
      </w:r>
      <w:r>
        <w:rPr>
          <w:rFonts w:hint="eastAsia" w:ascii="方正小标宋简体" w:hAnsi="方正小标宋简体" w:eastAsia="方正小标宋简体" w:cs="方正小标宋简体"/>
          <w:color w:val="auto"/>
          <w:sz w:val="72"/>
          <w:szCs w:val="72"/>
          <w:highlight w:val="none"/>
        </w:rPr>
        <w:t>部门决算</w:t>
      </w:r>
      <w:bookmarkEnd w:id="7"/>
      <w:bookmarkEnd w:id="8"/>
      <w:bookmarkEnd w:id="9"/>
      <w:bookmarkEnd w:id="10"/>
      <w:bookmarkEnd w:id="11"/>
      <w:bookmarkEnd w:id="12"/>
      <w:bookmarkEnd w:id="13"/>
    </w:p>
    <w:p>
      <w:pPr>
        <w:widowControl/>
        <w:jc w:val="center"/>
        <w:rPr>
          <w:rFonts w:ascii="黑体" w:hAnsi="黑体" w:eastAsia="黑体" w:cstheme="minorBidi"/>
          <w:color w:val="auto"/>
          <w:sz w:val="28"/>
          <w:szCs w:val="28"/>
          <w:highlight w:val="none"/>
        </w:rPr>
      </w:pPr>
      <w:r>
        <w:rPr>
          <w:rFonts w:ascii="方正小标宋简体" w:hAnsi="宋体" w:eastAsia="方正小标宋简体"/>
          <w:color w:val="auto"/>
          <w:sz w:val="36"/>
          <w:szCs w:val="36"/>
          <w:highlight w:val="none"/>
        </w:rPr>
        <w:br w:type="page"/>
      </w:r>
      <w:r>
        <w:rPr>
          <w:rFonts w:hint="eastAsia" w:ascii="黑体" w:hAnsi="黑体" w:eastAsia="黑体"/>
          <w:color w:val="auto"/>
          <w:sz w:val="48"/>
          <w:szCs w:val="48"/>
          <w:highlight w:val="none"/>
        </w:rPr>
        <w:t>目录</w:t>
      </w:r>
    </w:p>
    <w:p>
      <w:pPr>
        <w:pStyle w:val="11"/>
        <w:rPr>
          <w:color w:val="auto"/>
          <w:highlight w:val="none"/>
        </w:rPr>
      </w:pPr>
      <w:r>
        <w:rPr>
          <w:rFonts w:hint="eastAsia"/>
          <w:color w:val="auto"/>
          <w:highlight w:val="none"/>
        </w:rPr>
        <w:t>公开时间：20</w:t>
      </w:r>
      <w:r>
        <w:rPr>
          <w:rFonts w:hint="eastAsia"/>
          <w:color w:val="auto"/>
          <w:highlight w:val="none"/>
          <w:lang w:val="en-US" w:eastAsia="zh-CN"/>
        </w:rPr>
        <w:t>23</w:t>
      </w:r>
      <w:r>
        <w:rPr>
          <w:rFonts w:hint="eastAsia"/>
          <w:color w:val="auto"/>
          <w:highlight w:val="none"/>
        </w:rPr>
        <w:t>年</w:t>
      </w:r>
      <w:r>
        <w:rPr>
          <w:rFonts w:hint="eastAsia"/>
          <w:color w:val="auto"/>
          <w:highlight w:val="none"/>
          <w:lang w:val="en-US" w:eastAsia="zh-CN"/>
        </w:rPr>
        <w:t>10</w:t>
      </w:r>
      <w:r>
        <w:rPr>
          <w:rFonts w:hint="eastAsia"/>
          <w:color w:val="auto"/>
          <w:highlight w:val="none"/>
        </w:rPr>
        <w:t>月</w:t>
      </w:r>
      <w:r>
        <w:rPr>
          <w:rFonts w:hint="eastAsia"/>
          <w:color w:val="auto"/>
          <w:highlight w:val="none"/>
          <w:lang w:val="en-US" w:eastAsia="zh-CN"/>
        </w:rPr>
        <w:t>11</w:t>
      </w:r>
      <w:r>
        <w:rPr>
          <w:rFonts w:hint="eastAsia"/>
          <w:color w:val="auto"/>
          <w:highlight w:val="none"/>
        </w:rPr>
        <w:t>日</w:t>
      </w:r>
    </w:p>
    <w:p>
      <w:pPr>
        <w:rPr>
          <w:color w:val="auto"/>
          <w:highlight w:val="none"/>
        </w:rPr>
      </w:pPr>
    </w:p>
    <w:sdt>
      <w:sdtPr>
        <w:rPr>
          <w:rFonts w:ascii="宋体" w:hAnsi="宋体" w:eastAsia="宋体" w:cs="Times New Roman"/>
          <w:kern w:val="2"/>
          <w:sz w:val="24"/>
          <w:szCs w:val="24"/>
          <w:lang w:val="en-US" w:eastAsia="zh-CN" w:bidi="ar-SA"/>
        </w:rPr>
        <w:id w:val="147460794"/>
        <w15:color w:val="DBDBDB"/>
        <w:docPartObj>
          <w:docPartGallery w:val="Table of Contents"/>
          <w:docPartUnique/>
        </w:docPartObj>
      </w:sdtPr>
      <w:sdtEndPr>
        <w:rPr>
          <w:rFonts w:ascii="宋体" w:hAnsi="宋体" w:eastAsia="宋体" w:cs="Times New Roman"/>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b/>
              <w:sz w:val="24"/>
              <w:szCs w:val="24"/>
            </w:rPr>
          </w:pPr>
          <w:bookmarkStart w:id="14" w:name="_Toc15377196"/>
          <w:bookmarkStart w:id="15" w:name="_Toc15396599"/>
          <w:r>
            <w:rPr>
              <w:sz w:val="24"/>
              <w:szCs w:val="24"/>
            </w:rPr>
            <w:fldChar w:fldCharType="begin"/>
          </w:r>
          <w:r>
            <w:rPr>
              <w:sz w:val="24"/>
              <w:szCs w:val="24"/>
            </w:rPr>
            <w:instrText xml:space="preserve">TOC \o "1-2" \h \u </w:instrText>
          </w:r>
          <w:r>
            <w:rPr>
              <w:sz w:val="24"/>
              <w:szCs w:val="24"/>
            </w:rPr>
            <w:fldChar w:fldCharType="separate"/>
          </w:r>
        </w:p>
        <w:p>
          <w:pPr>
            <w:pStyle w:val="34"/>
            <w:tabs>
              <w:tab w:val="right" w:leader="dot" w:pos="8306"/>
            </w:tabs>
            <w:rPr>
              <w:rFonts w:hint="eastAsia" w:ascii="仿宋" w:hAnsi="仿宋" w:eastAsia="仿宋" w:cs="仿宋"/>
              <w:b/>
              <w:sz w:val="24"/>
              <w:szCs w:val="24"/>
            </w:rPr>
          </w:pP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HYPERLINK \l _Toc18520 </w:instrText>
          </w:r>
          <w:r>
            <w:rPr>
              <w:rFonts w:hint="eastAsia" w:ascii="仿宋" w:hAnsi="仿宋" w:eastAsia="仿宋" w:cs="仿宋"/>
              <w:b/>
              <w:sz w:val="24"/>
              <w:szCs w:val="24"/>
            </w:rPr>
            <w:fldChar w:fldCharType="separate"/>
          </w:r>
          <w:r>
            <w:rPr>
              <w:rFonts w:hint="eastAsia" w:ascii="仿宋" w:hAnsi="仿宋" w:eastAsia="仿宋" w:cs="仿宋"/>
              <w:b/>
              <w:sz w:val="24"/>
              <w:szCs w:val="24"/>
              <w:highlight w:val="none"/>
            </w:rPr>
            <w:t xml:space="preserve">第一部分 </w:t>
          </w:r>
          <w:r>
            <w:rPr>
              <w:rFonts w:hint="eastAsia" w:ascii="仿宋" w:hAnsi="仿宋" w:eastAsia="仿宋" w:cs="仿宋"/>
              <w:b/>
              <w:bCs w:val="0"/>
              <w:sz w:val="24"/>
              <w:szCs w:val="24"/>
              <w:highlight w:val="none"/>
            </w:rPr>
            <w:t>部门概况</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_Toc18520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3</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35"/>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_Toc7397 </w:instrText>
          </w:r>
          <w:r>
            <w:rPr>
              <w:rFonts w:hint="eastAsia" w:ascii="仿宋" w:hAnsi="仿宋" w:eastAsia="仿宋" w:cs="仿宋"/>
              <w:sz w:val="24"/>
              <w:szCs w:val="24"/>
            </w:rPr>
            <w:fldChar w:fldCharType="separate"/>
          </w:r>
          <w:r>
            <w:rPr>
              <w:rFonts w:hint="eastAsia" w:ascii="仿宋" w:hAnsi="仿宋" w:eastAsia="仿宋" w:cs="仿宋"/>
              <w:sz w:val="24"/>
              <w:szCs w:val="24"/>
              <w:highlight w:val="none"/>
            </w:rPr>
            <w:t>一、</w:t>
          </w:r>
          <w:r>
            <w:rPr>
              <w:rFonts w:hint="eastAsia" w:ascii="仿宋" w:hAnsi="仿宋" w:eastAsia="仿宋" w:cs="仿宋"/>
              <w:sz w:val="24"/>
              <w:szCs w:val="24"/>
              <w:highlight w:val="none"/>
              <w:lang w:eastAsia="zh-CN"/>
            </w:rPr>
            <w:t>部门职责</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_Toc7397 \h </w:instrText>
          </w:r>
          <w:r>
            <w:rPr>
              <w:rFonts w:hint="eastAsia" w:ascii="仿宋" w:hAnsi="仿宋" w:eastAsia="仿宋" w:cs="仿宋"/>
              <w:sz w:val="24"/>
              <w:szCs w:val="24"/>
            </w:rPr>
            <w:fldChar w:fldCharType="separate"/>
          </w:r>
          <w:r>
            <w:rPr>
              <w:rFonts w:hint="eastAsia" w:ascii="仿宋" w:hAnsi="仿宋" w:eastAsia="仿宋" w:cs="仿宋"/>
              <w:sz w:val="24"/>
              <w:szCs w:val="24"/>
            </w:rPr>
            <w:t>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5"/>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_Toc30462 </w:instrText>
          </w:r>
          <w:r>
            <w:rPr>
              <w:rFonts w:hint="eastAsia" w:ascii="仿宋" w:hAnsi="仿宋" w:eastAsia="仿宋" w:cs="仿宋"/>
              <w:sz w:val="24"/>
              <w:szCs w:val="24"/>
            </w:rPr>
            <w:fldChar w:fldCharType="separate"/>
          </w:r>
          <w:r>
            <w:rPr>
              <w:rFonts w:hint="eastAsia" w:ascii="仿宋" w:hAnsi="仿宋" w:eastAsia="仿宋" w:cs="仿宋"/>
              <w:sz w:val="24"/>
              <w:szCs w:val="24"/>
              <w:highlight w:val="none"/>
            </w:rPr>
            <w:t>二、机</w:t>
          </w:r>
          <w:r>
            <w:rPr>
              <w:rFonts w:hint="eastAsia" w:ascii="仿宋" w:hAnsi="仿宋" w:eastAsia="仿宋" w:cs="仿宋"/>
              <w:bCs w:val="0"/>
              <w:sz w:val="24"/>
              <w:szCs w:val="24"/>
              <w:highlight w:val="none"/>
            </w:rPr>
            <w:t>构设置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_Toc30462 \h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4"/>
            <w:tabs>
              <w:tab w:val="right" w:leader="dot" w:pos="8306"/>
            </w:tabs>
            <w:rPr>
              <w:rFonts w:hint="eastAsia" w:ascii="仿宋" w:hAnsi="仿宋" w:eastAsia="仿宋" w:cs="仿宋"/>
              <w:b/>
              <w:sz w:val="24"/>
              <w:szCs w:val="24"/>
            </w:rPr>
          </w:pP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HYPERLINK \l _Toc13386 </w:instrText>
          </w:r>
          <w:r>
            <w:rPr>
              <w:rFonts w:hint="eastAsia" w:ascii="仿宋" w:hAnsi="仿宋" w:eastAsia="仿宋" w:cs="仿宋"/>
              <w:b/>
              <w:sz w:val="24"/>
              <w:szCs w:val="24"/>
            </w:rPr>
            <w:fldChar w:fldCharType="separate"/>
          </w:r>
          <w:r>
            <w:rPr>
              <w:rFonts w:hint="eastAsia" w:ascii="仿宋" w:hAnsi="仿宋" w:eastAsia="仿宋" w:cs="仿宋"/>
              <w:b/>
              <w:bCs/>
              <w:sz w:val="24"/>
              <w:szCs w:val="24"/>
              <w:highlight w:val="none"/>
            </w:rPr>
            <w:t xml:space="preserve">第二部分 </w:t>
          </w:r>
          <w:r>
            <w:rPr>
              <w:rFonts w:hint="eastAsia" w:ascii="仿宋" w:hAnsi="仿宋" w:eastAsia="仿宋" w:cs="仿宋"/>
              <w:b/>
              <w:bCs/>
              <w:sz w:val="24"/>
              <w:szCs w:val="24"/>
              <w:highlight w:val="none"/>
              <w:lang w:val="en-US" w:eastAsia="zh-CN"/>
            </w:rPr>
            <w:t>2022年度</w:t>
          </w:r>
          <w:r>
            <w:rPr>
              <w:rFonts w:hint="eastAsia" w:ascii="仿宋" w:hAnsi="仿宋" w:eastAsia="仿宋" w:cs="仿宋"/>
              <w:b/>
              <w:bCs/>
              <w:sz w:val="24"/>
              <w:szCs w:val="24"/>
              <w:highlight w:val="none"/>
            </w:rPr>
            <w:t>部门决算情况说明</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_Toc13386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5</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35"/>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_Toc30653 </w:instrText>
          </w:r>
          <w:r>
            <w:rPr>
              <w:rFonts w:hint="eastAsia" w:ascii="仿宋" w:hAnsi="仿宋" w:eastAsia="仿宋" w:cs="仿宋"/>
              <w:sz w:val="24"/>
              <w:szCs w:val="24"/>
            </w:rPr>
            <w:fldChar w:fldCharType="separate"/>
          </w:r>
          <w:r>
            <w:rPr>
              <w:rFonts w:hint="eastAsia" w:ascii="仿宋" w:hAnsi="仿宋" w:eastAsia="仿宋" w:cs="仿宋"/>
              <w:sz w:val="24"/>
              <w:szCs w:val="24"/>
            </w:rPr>
            <w:t xml:space="preserve">一、 </w:t>
          </w:r>
          <w:r>
            <w:rPr>
              <w:rFonts w:hint="eastAsia" w:ascii="仿宋" w:hAnsi="仿宋" w:eastAsia="仿宋" w:cs="仿宋"/>
              <w:sz w:val="24"/>
              <w:szCs w:val="24"/>
              <w:highlight w:val="none"/>
            </w:rPr>
            <w:t>收入支出决算总体情况说明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_Toc30653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5"/>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_Toc25008 </w:instrText>
          </w:r>
          <w:r>
            <w:rPr>
              <w:rFonts w:hint="eastAsia" w:ascii="仿宋" w:hAnsi="仿宋" w:eastAsia="仿宋" w:cs="仿宋"/>
              <w:sz w:val="24"/>
              <w:szCs w:val="24"/>
            </w:rPr>
            <w:fldChar w:fldCharType="separate"/>
          </w:r>
          <w:r>
            <w:rPr>
              <w:rFonts w:hint="eastAsia" w:ascii="仿宋" w:hAnsi="仿宋" w:eastAsia="仿宋" w:cs="仿宋"/>
              <w:sz w:val="24"/>
              <w:szCs w:val="24"/>
            </w:rPr>
            <w:t xml:space="preserve">二、 </w:t>
          </w:r>
          <w:r>
            <w:rPr>
              <w:rFonts w:hint="eastAsia" w:ascii="仿宋" w:hAnsi="仿宋" w:eastAsia="仿宋" w:cs="仿宋"/>
              <w:sz w:val="24"/>
              <w:szCs w:val="24"/>
              <w:highlight w:val="none"/>
            </w:rPr>
            <w:t>收入决算情况说明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_Toc25008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5"/>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_Toc834 </w:instrText>
          </w:r>
          <w:r>
            <w:rPr>
              <w:rFonts w:hint="eastAsia" w:ascii="仿宋" w:hAnsi="仿宋" w:eastAsia="仿宋" w:cs="仿宋"/>
              <w:sz w:val="24"/>
              <w:szCs w:val="24"/>
            </w:rPr>
            <w:fldChar w:fldCharType="separate"/>
          </w:r>
          <w:r>
            <w:rPr>
              <w:rFonts w:hint="eastAsia" w:ascii="仿宋" w:hAnsi="仿宋" w:eastAsia="仿宋" w:cs="仿宋"/>
              <w:sz w:val="24"/>
              <w:szCs w:val="24"/>
            </w:rPr>
            <w:t xml:space="preserve">三、 </w:t>
          </w:r>
          <w:r>
            <w:rPr>
              <w:rFonts w:hint="eastAsia" w:ascii="仿宋" w:hAnsi="仿宋" w:eastAsia="仿宋" w:cs="仿宋"/>
              <w:sz w:val="24"/>
              <w:szCs w:val="24"/>
              <w:highlight w:val="none"/>
            </w:rPr>
            <w:t>支出决算情况说明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_Toc834 \h </w:instrText>
          </w:r>
          <w:r>
            <w:rPr>
              <w:rFonts w:hint="eastAsia" w:ascii="仿宋" w:hAnsi="仿宋" w:eastAsia="仿宋" w:cs="仿宋"/>
              <w:sz w:val="24"/>
              <w:szCs w:val="24"/>
            </w:rPr>
            <w:fldChar w:fldCharType="separate"/>
          </w:r>
          <w:r>
            <w:rPr>
              <w:rFonts w:hint="eastAsia" w:ascii="仿宋" w:hAnsi="仿宋" w:eastAsia="仿宋" w:cs="仿宋"/>
              <w:sz w:val="24"/>
              <w:szCs w:val="24"/>
            </w:rPr>
            <w:t>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5"/>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_Toc11972 </w:instrText>
          </w:r>
          <w:r>
            <w:rPr>
              <w:rFonts w:hint="eastAsia" w:ascii="仿宋" w:hAnsi="仿宋" w:eastAsia="仿宋" w:cs="仿宋"/>
              <w:sz w:val="24"/>
              <w:szCs w:val="24"/>
            </w:rPr>
            <w:fldChar w:fldCharType="separate"/>
          </w:r>
          <w:r>
            <w:rPr>
              <w:rFonts w:hint="eastAsia" w:ascii="仿宋" w:hAnsi="仿宋" w:eastAsia="仿宋" w:cs="仿宋"/>
              <w:sz w:val="24"/>
              <w:szCs w:val="24"/>
              <w:highlight w:val="none"/>
            </w:rPr>
            <w:t>四、财政拨款收入支出决算总体情况说明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_Toc11972 \h </w:instrText>
          </w:r>
          <w:r>
            <w:rPr>
              <w:rFonts w:hint="eastAsia" w:ascii="仿宋" w:hAnsi="仿宋" w:eastAsia="仿宋" w:cs="仿宋"/>
              <w:sz w:val="24"/>
              <w:szCs w:val="24"/>
            </w:rPr>
            <w:fldChar w:fldCharType="separate"/>
          </w:r>
          <w:r>
            <w:rPr>
              <w:rFonts w:hint="eastAsia" w:ascii="仿宋" w:hAnsi="仿宋" w:eastAsia="仿宋" w:cs="仿宋"/>
              <w:sz w:val="24"/>
              <w:szCs w:val="24"/>
            </w:rPr>
            <w:t>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5"/>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_Toc6906 </w:instrText>
          </w:r>
          <w:r>
            <w:rPr>
              <w:rFonts w:hint="eastAsia" w:ascii="仿宋" w:hAnsi="仿宋" w:eastAsia="仿宋" w:cs="仿宋"/>
              <w:sz w:val="24"/>
              <w:szCs w:val="24"/>
            </w:rPr>
            <w:fldChar w:fldCharType="separate"/>
          </w:r>
          <w:r>
            <w:rPr>
              <w:rFonts w:hint="eastAsia" w:ascii="仿宋" w:hAnsi="仿宋" w:eastAsia="仿宋" w:cs="仿宋"/>
              <w:sz w:val="24"/>
              <w:szCs w:val="24"/>
              <w:highlight w:val="none"/>
            </w:rPr>
            <w:t>五、一般公共预算财政拨款支出决算情况说明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_Toc6906 \h </w:instrText>
          </w:r>
          <w:r>
            <w:rPr>
              <w:rFonts w:hint="eastAsia" w:ascii="仿宋" w:hAnsi="仿宋" w:eastAsia="仿宋" w:cs="仿宋"/>
              <w:sz w:val="24"/>
              <w:szCs w:val="24"/>
            </w:rPr>
            <w:fldChar w:fldCharType="separate"/>
          </w:r>
          <w:r>
            <w:rPr>
              <w:rFonts w:hint="eastAsia" w:ascii="仿宋" w:hAnsi="仿宋" w:eastAsia="仿宋" w:cs="仿宋"/>
              <w:sz w:val="24"/>
              <w:szCs w:val="24"/>
            </w:rPr>
            <w:t>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5"/>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_Toc4396 </w:instrText>
          </w:r>
          <w:r>
            <w:rPr>
              <w:rFonts w:hint="eastAsia" w:ascii="仿宋" w:hAnsi="仿宋" w:eastAsia="仿宋" w:cs="仿宋"/>
              <w:sz w:val="24"/>
              <w:szCs w:val="24"/>
            </w:rPr>
            <w:fldChar w:fldCharType="separate"/>
          </w:r>
          <w:r>
            <w:rPr>
              <w:rFonts w:hint="eastAsia" w:ascii="仿宋" w:hAnsi="仿宋" w:eastAsia="仿宋" w:cs="仿宋"/>
              <w:sz w:val="24"/>
              <w:szCs w:val="24"/>
              <w:highlight w:val="none"/>
            </w:rPr>
            <w:t>六、一般公共预算财政拨款基本支出决算情况说明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_Toc4396 \h </w:instrText>
          </w:r>
          <w:r>
            <w:rPr>
              <w:rFonts w:hint="eastAsia" w:ascii="仿宋" w:hAnsi="仿宋" w:eastAsia="仿宋" w:cs="仿宋"/>
              <w:sz w:val="24"/>
              <w:szCs w:val="24"/>
            </w:rPr>
            <w:fldChar w:fldCharType="separate"/>
          </w:r>
          <w:r>
            <w:rPr>
              <w:rFonts w:hint="eastAsia" w:ascii="仿宋" w:hAnsi="仿宋" w:eastAsia="仿宋" w:cs="仿宋"/>
              <w:sz w:val="24"/>
              <w:szCs w:val="24"/>
            </w:rPr>
            <w:t>11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5"/>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_Toc2375 </w:instrText>
          </w:r>
          <w:r>
            <w:rPr>
              <w:rFonts w:hint="eastAsia" w:ascii="仿宋" w:hAnsi="仿宋" w:eastAsia="仿宋" w:cs="仿宋"/>
              <w:sz w:val="24"/>
              <w:szCs w:val="24"/>
            </w:rPr>
            <w:fldChar w:fldCharType="separate"/>
          </w:r>
          <w:r>
            <w:rPr>
              <w:rFonts w:hint="eastAsia" w:ascii="仿宋" w:hAnsi="仿宋" w:eastAsia="仿宋" w:cs="仿宋"/>
              <w:sz w:val="24"/>
              <w:szCs w:val="24"/>
              <w:highlight w:val="none"/>
            </w:rPr>
            <w:t>七、财政拨款“三公”经费支出决算情况说明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_Toc2375 \h </w:instrText>
          </w:r>
          <w:r>
            <w:rPr>
              <w:rFonts w:hint="eastAsia" w:ascii="仿宋" w:hAnsi="仿宋" w:eastAsia="仿宋" w:cs="仿宋"/>
              <w:sz w:val="24"/>
              <w:szCs w:val="24"/>
            </w:rPr>
            <w:fldChar w:fldCharType="separate"/>
          </w:r>
          <w:r>
            <w:rPr>
              <w:rFonts w:hint="eastAsia" w:ascii="仿宋" w:hAnsi="仿宋" w:eastAsia="仿宋" w:cs="仿宋"/>
              <w:sz w:val="24"/>
              <w:szCs w:val="24"/>
            </w:rPr>
            <w:t>11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5"/>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_Toc6418 </w:instrText>
          </w:r>
          <w:r>
            <w:rPr>
              <w:rFonts w:hint="eastAsia" w:ascii="仿宋" w:hAnsi="仿宋" w:eastAsia="仿宋" w:cs="仿宋"/>
              <w:sz w:val="24"/>
              <w:szCs w:val="24"/>
            </w:rPr>
            <w:fldChar w:fldCharType="separate"/>
          </w:r>
          <w:r>
            <w:rPr>
              <w:rFonts w:hint="eastAsia" w:ascii="仿宋" w:hAnsi="仿宋" w:eastAsia="仿宋" w:cs="仿宋"/>
              <w:sz w:val="24"/>
              <w:szCs w:val="24"/>
              <w:highlight w:val="none"/>
            </w:rPr>
            <w:t>八、政府性基金预算支出决算情况说明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_Toc6418 \h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5"/>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_Toc14989 </w:instrText>
          </w:r>
          <w:r>
            <w:rPr>
              <w:rFonts w:hint="eastAsia" w:ascii="仿宋" w:hAnsi="仿宋" w:eastAsia="仿宋" w:cs="仿宋"/>
              <w:sz w:val="24"/>
              <w:szCs w:val="24"/>
            </w:rPr>
            <w:fldChar w:fldCharType="separate"/>
          </w:r>
          <w:r>
            <w:rPr>
              <w:rFonts w:hint="eastAsia" w:ascii="仿宋" w:hAnsi="仿宋" w:eastAsia="仿宋" w:cs="仿宋"/>
              <w:sz w:val="24"/>
              <w:szCs w:val="24"/>
            </w:rPr>
            <w:t xml:space="preserve">九、 </w:t>
          </w:r>
          <w:r>
            <w:rPr>
              <w:rFonts w:hint="eastAsia" w:ascii="仿宋" w:hAnsi="仿宋" w:eastAsia="仿宋" w:cs="仿宋"/>
              <w:sz w:val="24"/>
              <w:szCs w:val="24"/>
              <w:highlight w:val="none"/>
            </w:rPr>
            <w:t>国有资本经营预算支出决算情况说明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_Toc14989 \h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5"/>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_Toc30716 </w:instrText>
          </w:r>
          <w:r>
            <w:rPr>
              <w:rFonts w:hint="eastAsia" w:ascii="仿宋" w:hAnsi="仿宋" w:eastAsia="仿宋" w:cs="仿宋"/>
              <w:sz w:val="24"/>
              <w:szCs w:val="24"/>
            </w:rPr>
            <w:fldChar w:fldCharType="separate"/>
          </w:r>
          <w:r>
            <w:rPr>
              <w:rFonts w:hint="eastAsia" w:ascii="仿宋" w:hAnsi="仿宋" w:eastAsia="仿宋" w:cs="仿宋"/>
              <w:sz w:val="24"/>
              <w:szCs w:val="24"/>
            </w:rPr>
            <w:t xml:space="preserve">十、 </w:t>
          </w:r>
          <w:r>
            <w:rPr>
              <w:rFonts w:hint="eastAsia" w:ascii="仿宋" w:hAnsi="仿宋" w:eastAsia="仿宋" w:cs="仿宋"/>
              <w:sz w:val="24"/>
              <w:szCs w:val="24"/>
              <w:highlight w:val="none"/>
            </w:rPr>
            <w:t>其他重要事项的情况说明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_Toc30716 \h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4"/>
            <w:tabs>
              <w:tab w:val="right" w:leader="dot" w:pos="8306"/>
            </w:tabs>
            <w:rPr>
              <w:rFonts w:hint="eastAsia" w:ascii="仿宋" w:hAnsi="仿宋" w:eastAsia="仿宋" w:cs="仿宋"/>
              <w:b/>
              <w:sz w:val="24"/>
              <w:szCs w:val="24"/>
            </w:rPr>
          </w:pP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HYPERLINK \l _Toc23740 </w:instrText>
          </w:r>
          <w:r>
            <w:rPr>
              <w:rFonts w:hint="eastAsia" w:ascii="仿宋" w:hAnsi="仿宋" w:eastAsia="仿宋" w:cs="仿宋"/>
              <w:b/>
              <w:sz w:val="24"/>
              <w:szCs w:val="24"/>
            </w:rPr>
            <w:fldChar w:fldCharType="separate"/>
          </w:r>
          <w:r>
            <w:rPr>
              <w:rFonts w:hint="eastAsia" w:ascii="仿宋" w:hAnsi="仿宋" w:eastAsia="仿宋" w:cs="仿宋"/>
              <w:b/>
              <w:sz w:val="24"/>
              <w:szCs w:val="24"/>
            </w:rPr>
            <w:t xml:space="preserve">第三部分 </w:t>
          </w:r>
          <w:r>
            <w:rPr>
              <w:rFonts w:hint="eastAsia" w:ascii="仿宋" w:hAnsi="仿宋" w:eastAsia="仿宋" w:cs="仿宋"/>
              <w:b/>
              <w:sz w:val="24"/>
              <w:szCs w:val="24"/>
              <w:highlight w:val="none"/>
            </w:rPr>
            <w:t>名词解释</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_Toc23740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14</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34"/>
            <w:tabs>
              <w:tab w:val="right" w:leader="dot" w:pos="8306"/>
            </w:tabs>
            <w:rPr>
              <w:rFonts w:hint="eastAsia" w:ascii="仿宋" w:hAnsi="仿宋" w:eastAsia="仿宋" w:cs="仿宋"/>
              <w:b/>
              <w:sz w:val="24"/>
              <w:szCs w:val="24"/>
            </w:rPr>
          </w:pP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HYPERLINK \l _Toc28035 </w:instrText>
          </w:r>
          <w:r>
            <w:rPr>
              <w:rFonts w:hint="eastAsia" w:ascii="仿宋" w:hAnsi="仿宋" w:eastAsia="仿宋" w:cs="仿宋"/>
              <w:b/>
              <w:sz w:val="24"/>
              <w:szCs w:val="24"/>
            </w:rPr>
            <w:fldChar w:fldCharType="separate"/>
          </w:r>
          <w:r>
            <w:rPr>
              <w:rFonts w:hint="eastAsia" w:ascii="仿宋" w:hAnsi="仿宋" w:eastAsia="仿宋" w:cs="仿宋"/>
              <w:b/>
              <w:sz w:val="24"/>
              <w:szCs w:val="24"/>
              <w:highlight w:val="none"/>
            </w:rPr>
            <w:t>第四部分 附件</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_Toc28035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18</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35"/>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_Toc26800 </w:instrText>
          </w:r>
          <w:r>
            <w:rPr>
              <w:rFonts w:hint="eastAsia" w:ascii="仿宋" w:hAnsi="仿宋" w:eastAsia="仿宋" w:cs="仿宋"/>
              <w:sz w:val="24"/>
              <w:szCs w:val="24"/>
            </w:rPr>
            <w:fldChar w:fldCharType="separate"/>
          </w:r>
          <w:r>
            <w:rPr>
              <w:rFonts w:hint="eastAsia" w:ascii="仿宋" w:hAnsi="仿宋" w:eastAsia="仿宋" w:cs="仿宋"/>
              <w:sz w:val="24"/>
              <w:szCs w:val="24"/>
              <w:highlight w:val="none"/>
            </w:rPr>
            <w:t>附件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_Toc26800 \h </w:instrText>
          </w:r>
          <w:r>
            <w:rPr>
              <w:rFonts w:hint="eastAsia" w:ascii="仿宋" w:hAnsi="仿宋" w:eastAsia="仿宋" w:cs="仿宋"/>
              <w:sz w:val="24"/>
              <w:szCs w:val="24"/>
            </w:rPr>
            <w:fldChar w:fldCharType="separate"/>
          </w:r>
          <w:r>
            <w:rPr>
              <w:rFonts w:hint="eastAsia" w:ascii="仿宋" w:hAnsi="仿宋" w:eastAsia="仿宋" w:cs="仿宋"/>
              <w:sz w:val="24"/>
              <w:szCs w:val="24"/>
            </w:rPr>
            <w:t>18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4"/>
            <w:tabs>
              <w:tab w:val="right" w:leader="dot" w:pos="8306"/>
            </w:tabs>
            <w:rPr>
              <w:rFonts w:hint="eastAsia" w:ascii="仿宋" w:hAnsi="仿宋" w:eastAsia="仿宋" w:cs="仿宋"/>
              <w:b/>
              <w:sz w:val="24"/>
              <w:szCs w:val="24"/>
            </w:rPr>
          </w:pP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HYPERLINK \l _Toc22884 </w:instrText>
          </w:r>
          <w:r>
            <w:rPr>
              <w:rFonts w:hint="eastAsia" w:ascii="仿宋" w:hAnsi="仿宋" w:eastAsia="仿宋" w:cs="仿宋"/>
              <w:b/>
              <w:sz w:val="24"/>
              <w:szCs w:val="24"/>
            </w:rPr>
            <w:fldChar w:fldCharType="separate"/>
          </w:r>
          <w:r>
            <w:rPr>
              <w:rFonts w:hint="eastAsia" w:ascii="仿宋" w:hAnsi="仿宋" w:eastAsia="仿宋" w:cs="仿宋"/>
              <w:b/>
              <w:sz w:val="24"/>
              <w:szCs w:val="24"/>
              <w:highlight w:val="none"/>
            </w:rPr>
            <w:t>第五部分 附表</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_Toc22884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71</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35"/>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_Toc2757 </w:instrText>
          </w:r>
          <w:r>
            <w:rPr>
              <w:rFonts w:hint="eastAsia" w:ascii="仿宋" w:hAnsi="仿宋" w:eastAsia="仿宋" w:cs="仿宋"/>
              <w:sz w:val="24"/>
              <w:szCs w:val="24"/>
            </w:rPr>
            <w:fldChar w:fldCharType="separate"/>
          </w:r>
          <w:r>
            <w:rPr>
              <w:rFonts w:hint="eastAsia" w:ascii="仿宋" w:hAnsi="仿宋" w:eastAsia="仿宋" w:cs="仿宋"/>
              <w:sz w:val="24"/>
              <w:szCs w:val="24"/>
              <w:highlight w:val="none"/>
            </w:rPr>
            <w:t>一、收</w:t>
          </w:r>
          <w:r>
            <w:rPr>
              <w:rFonts w:hint="eastAsia" w:ascii="仿宋" w:hAnsi="仿宋" w:eastAsia="仿宋" w:cs="仿宋"/>
              <w:bCs w:val="0"/>
              <w:sz w:val="24"/>
              <w:szCs w:val="24"/>
              <w:highlight w:val="none"/>
            </w:rPr>
            <w:t>入支出决算总表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_Toc2757 \h </w:instrText>
          </w:r>
          <w:r>
            <w:rPr>
              <w:rFonts w:hint="eastAsia" w:ascii="仿宋" w:hAnsi="仿宋" w:eastAsia="仿宋" w:cs="仿宋"/>
              <w:sz w:val="24"/>
              <w:szCs w:val="24"/>
            </w:rPr>
            <w:fldChar w:fldCharType="separate"/>
          </w:r>
          <w:r>
            <w:rPr>
              <w:rFonts w:hint="eastAsia" w:ascii="仿宋" w:hAnsi="仿宋" w:eastAsia="仿宋" w:cs="仿宋"/>
              <w:sz w:val="24"/>
              <w:szCs w:val="24"/>
            </w:rPr>
            <w:t>71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5"/>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_Toc29781 </w:instrText>
          </w:r>
          <w:r>
            <w:rPr>
              <w:rFonts w:hint="eastAsia" w:ascii="仿宋" w:hAnsi="仿宋" w:eastAsia="仿宋" w:cs="仿宋"/>
              <w:sz w:val="24"/>
              <w:szCs w:val="24"/>
            </w:rPr>
            <w:fldChar w:fldCharType="separate"/>
          </w:r>
          <w:r>
            <w:rPr>
              <w:rFonts w:hint="eastAsia" w:ascii="仿宋" w:hAnsi="仿宋" w:eastAsia="仿宋" w:cs="仿宋"/>
              <w:sz w:val="24"/>
              <w:szCs w:val="24"/>
              <w:highlight w:val="none"/>
            </w:rPr>
            <w:t>二、收</w:t>
          </w:r>
          <w:r>
            <w:rPr>
              <w:rFonts w:hint="eastAsia" w:ascii="仿宋" w:hAnsi="仿宋" w:eastAsia="仿宋" w:cs="仿宋"/>
              <w:bCs w:val="0"/>
              <w:sz w:val="24"/>
              <w:szCs w:val="24"/>
              <w:highlight w:val="none"/>
            </w:rPr>
            <w:t>入决算表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_Toc29781 \h </w:instrText>
          </w:r>
          <w:r>
            <w:rPr>
              <w:rFonts w:hint="eastAsia" w:ascii="仿宋" w:hAnsi="仿宋" w:eastAsia="仿宋" w:cs="仿宋"/>
              <w:sz w:val="24"/>
              <w:szCs w:val="24"/>
            </w:rPr>
            <w:fldChar w:fldCharType="separate"/>
          </w:r>
          <w:r>
            <w:rPr>
              <w:rFonts w:hint="eastAsia" w:ascii="仿宋" w:hAnsi="仿宋" w:eastAsia="仿宋" w:cs="仿宋"/>
              <w:sz w:val="24"/>
              <w:szCs w:val="24"/>
            </w:rPr>
            <w:t>71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5"/>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_Toc32502 </w:instrText>
          </w:r>
          <w:r>
            <w:rPr>
              <w:rFonts w:hint="eastAsia" w:ascii="仿宋" w:hAnsi="仿宋" w:eastAsia="仿宋" w:cs="仿宋"/>
              <w:sz w:val="24"/>
              <w:szCs w:val="24"/>
            </w:rPr>
            <w:fldChar w:fldCharType="separate"/>
          </w:r>
          <w:r>
            <w:rPr>
              <w:rFonts w:hint="eastAsia" w:ascii="仿宋" w:hAnsi="仿宋" w:eastAsia="仿宋" w:cs="仿宋"/>
              <w:bCs w:val="0"/>
              <w:sz w:val="24"/>
              <w:szCs w:val="24"/>
              <w:highlight w:val="none"/>
            </w:rPr>
            <w:t>三、</w:t>
          </w:r>
          <w:r>
            <w:rPr>
              <w:rFonts w:hint="eastAsia" w:ascii="仿宋" w:hAnsi="仿宋" w:eastAsia="仿宋" w:cs="仿宋"/>
              <w:sz w:val="24"/>
              <w:szCs w:val="24"/>
              <w:highlight w:val="none"/>
            </w:rPr>
            <w:t>支</w:t>
          </w:r>
          <w:r>
            <w:rPr>
              <w:rFonts w:hint="eastAsia" w:ascii="仿宋" w:hAnsi="仿宋" w:eastAsia="仿宋" w:cs="仿宋"/>
              <w:bCs w:val="0"/>
              <w:sz w:val="24"/>
              <w:szCs w:val="24"/>
              <w:highlight w:val="none"/>
            </w:rPr>
            <w:t>出决算表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_Toc32502 \h </w:instrText>
          </w:r>
          <w:r>
            <w:rPr>
              <w:rFonts w:hint="eastAsia" w:ascii="仿宋" w:hAnsi="仿宋" w:eastAsia="仿宋" w:cs="仿宋"/>
              <w:sz w:val="24"/>
              <w:szCs w:val="24"/>
            </w:rPr>
            <w:fldChar w:fldCharType="separate"/>
          </w:r>
          <w:r>
            <w:rPr>
              <w:rFonts w:hint="eastAsia" w:ascii="仿宋" w:hAnsi="仿宋" w:eastAsia="仿宋" w:cs="仿宋"/>
              <w:sz w:val="24"/>
              <w:szCs w:val="24"/>
            </w:rPr>
            <w:t>71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5"/>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_Toc2005 </w:instrText>
          </w:r>
          <w:r>
            <w:rPr>
              <w:rFonts w:hint="eastAsia" w:ascii="仿宋" w:hAnsi="仿宋" w:eastAsia="仿宋" w:cs="仿宋"/>
              <w:sz w:val="24"/>
              <w:szCs w:val="24"/>
            </w:rPr>
            <w:fldChar w:fldCharType="separate"/>
          </w:r>
          <w:r>
            <w:rPr>
              <w:rFonts w:hint="eastAsia" w:ascii="仿宋" w:hAnsi="仿宋" w:eastAsia="仿宋" w:cs="仿宋"/>
              <w:bCs w:val="0"/>
              <w:sz w:val="24"/>
              <w:szCs w:val="24"/>
              <w:highlight w:val="none"/>
            </w:rPr>
            <w:t>四、</w:t>
          </w:r>
          <w:r>
            <w:rPr>
              <w:rFonts w:hint="eastAsia" w:ascii="仿宋" w:hAnsi="仿宋" w:eastAsia="仿宋" w:cs="仿宋"/>
              <w:sz w:val="24"/>
              <w:szCs w:val="24"/>
              <w:highlight w:val="none"/>
            </w:rPr>
            <w:t>财</w:t>
          </w:r>
          <w:r>
            <w:rPr>
              <w:rFonts w:hint="eastAsia" w:ascii="仿宋" w:hAnsi="仿宋" w:eastAsia="仿宋" w:cs="仿宋"/>
              <w:bCs w:val="0"/>
              <w:sz w:val="24"/>
              <w:szCs w:val="24"/>
              <w:highlight w:val="none"/>
            </w:rPr>
            <w:t>政拨款收入支出决算总表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_Toc2005 \h </w:instrText>
          </w:r>
          <w:r>
            <w:rPr>
              <w:rFonts w:hint="eastAsia" w:ascii="仿宋" w:hAnsi="仿宋" w:eastAsia="仿宋" w:cs="仿宋"/>
              <w:sz w:val="24"/>
              <w:szCs w:val="24"/>
            </w:rPr>
            <w:fldChar w:fldCharType="separate"/>
          </w:r>
          <w:r>
            <w:rPr>
              <w:rFonts w:hint="eastAsia" w:ascii="仿宋" w:hAnsi="仿宋" w:eastAsia="仿宋" w:cs="仿宋"/>
              <w:sz w:val="24"/>
              <w:szCs w:val="24"/>
            </w:rPr>
            <w:t>71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5"/>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_Toc14055 </w:instrText>
          </w:r>
          <w:r>
            <w:rPr>
              <w:rFonts w:hint="eastAsia" w:ascii="仿宋" w:hAnsi="仿宋" w:eastAsia="仿宋" w:cs="仿宋"/>
              <w:sz w:val="24"/>
              <w:szCs w:val="24"/>
            </w:rPr>
            <w:fldChar w:fldCharType="separate"/>
          </w:r>
          <w:r>
            <w:rPr>
              <w:rFonts w:hint="eastAsia" w:ascii="仿宋" w:hAnsi="仿宋" w:eastAsia="仿宋" w:cs="仿宋"/>
              <w:bCs w:val="0"/>
              <w:sz w:val="24"/>
              <w:szCs w:val="24"/>
              <w:highlight w:val="none"/>
            </w:rPr>
            <w:t>五、</w:t>
          </w:r>
          <w:r>
            <w:rPr>
              <w:rFonts w:hint="eastAsia" w:ascii="仿宋" w:hAnsi="仿宋" w:eastAsia="仿宋" w:cs="仿宋"/>
              <w:sz w:val="24"/>
              <w:szCs w:val="24"/>
              <w:highlight w:val="none"/>
            </w:rPr>
            <w:t>财</w:t>
          </w:r>
          <w:r>
            <w:rPr>
              <w:rFonts w:hint="eastAsia" w:ascii="仿宋" w:hAnsi="仿宋" w:eastAsia="仿宋" w:cs="仿宋"/>
              <w:bCs w:val="0"/>
              <w:sz w:val="24"/>
              <w:szCs w:val="24"/>
              <w:highlight w:val="none"/>
            </w:rPr>
            <w:t>政拨款支出决算明细表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_Toc14055 \h </w:instrText>
          </w:r>
          <w:r>
            <w:rPr>
              <w:rFonts w:hint="eastAsia" w:ascii="仿宋" w:hAnsi="仿宋" w:eastAsia="仿宋" w:cs="仿宋"/>
              <w:sz w:val="24"/>
              <w:szCs w:val="24"/>
            </w:rPr>
            <w:fldChar w:fldCharType="separate"/>
          </w:r>
          <w:r>
            <w:rPr>
              <w:rFonts w:hint="eastAsia" w:ascii="仿宋" w:hAnsi="仿宋" w:eastAsia="仿宋" w:cs="仿宋"/>
              <w:sz w:val="24"/>
              <w:szCs w:val="24"/>
            </w:rPr>
            <w:t>71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5"/>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_Toc16595 </w:instrText>
          </w:r>
          <w:r>
            <w:rPr>
              <w:rFonts w:hint="eastAsia" w:ascii="仿宋" w:hAnsi="仿宋" w:eastAsia="仿宋" w:cs="仿宋"/>
              <w:sz w:val="24"/>
              <w:szCs w:val="24"/>
            </w:rPr>
            <w:fldChar w:fldCharType="separate"/>
          </w:r>
          <w:r>
            <w:rPr>
              <w:rFonts w:hint="eastAsia" w:ascii="仿宋" w:hAnsi="仿宋" w:eastAsia="仿宋" w:cs="仿宋"/>
              <w:bCs w:val="0"/>
              <w:sz w:val="24"/>
              <w:szCs w:val="24"/>
              <w:highlight w:val="none"/>
            </w:rPr>
            <w:t>六、</w:t>
          </w:r>
          <w:r>
            <w:rPr>
              <w:rFonts w:hint="eastAsia" w:ascii="仿宋" w:hAnsi="仿宋" w:eastAsia="仿宋" w:cs="仿宋"/>
              <w:sz w:val="24"/>
              <w:szCs w:val="24"/>
              <w:highlight w:val="none"/>
            </w:rPr>
            <w:t>一</w:t>
          </w:r>
          <w:r>
            <w:rPr>
              <w:rFonts w:hint="eastAsia" w:ascii="仿宋" w:hAnsi="仿宋" w:eastAsia="仿宋" w:cs="仿宋"/>
              <w:bCs w:val="0"/>
              <w:sz w:val="24"/>
              <w:szCs w:val="24"/>
              <w:highlight w:val="none"/>
            </w:rPr>
            <w:t>般公共预算财政拨款支出决算表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_Toc16595 \h </w:instrText>
          </w:r>
          <w:r>
            <w:rPr>
              <w:rFonts w:hint="eastAsia" w:ascii="仿宋" w:hAnsi="仿宋" w:eastAsia="仿宋" w:cs="仿宋"/>
              <w:sz w:val="24"/>
              <w:szCs w:val="24"/>
            </w:rPr>
            <w:fldChar w:fldCharType="separate"/>
          </w:r>
          <w:r>
            <w:rPr>
              <w:rFonts w:hint="eastAsia" w:ascii="仿宋" w:hAnsi="仿宋" w:eastAsia="仿宋" w:cs="仿宋"/>
              <w:sz w:val="24"/>
              <w:szCs w:val="24"/>
            </w:rPr>
            <w:t>71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5"/>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_Toc16663 </w:instrText>
          </w:r>
          <w:r>
            <w:rPr>
              <w:rFonts w:hint="eastAsia" w:ascii="仿宋" w:hAnsi="仿宋" w:eastAsia="仿宋" w:cs="仿宋"/>
              <w:sz w:val="24"/>
              <w:szCs w:val="24"/>
            </w:rPr>
            <w:fldChar w:fldCharType="separate"/>
          </w:r>
          <w:r>
            <w:rPr>
              <w:rFonts w:hint="eastAsia" w:ascii="仿宋" w:hAnsi="仿宋" w:eastAsia="仿宋" w:cs="仿宋"/>
              <w:bCs w:val="0"/>
              <w:sz w:val="24"/>
              <w:szCs w:val="24"/>
              <w:highlight w:val="none"/>
            </w:rPr>
            <w:t>七、</w:t>
          </w:r>
          <w:r>
            <w:rPr>
              <w:rFonts w:hint="eastAsia" w:ascii="仿宋" w:hAnsi="仿宋" w:eastAsia="仿宋" w:cs="仿宋"/>
              <w:sz w:val="24"/>
              <w:szCs w:val="24"/>
              <w:highlight w:val="none"/>
            </w:rPr>
            <w:t>一</w:t>
          </w:r>
          <w:r>
            <w:rPr>
              <w:rFonts w:hint="eastAsia" w:ascii="仿宋" w:hAnsi="仿宋" w:eastAsia="仿宋" w:cs="仿宋"/>
              <w:bCs w:val="0"/>
              <w:sz w:val="24"/>
              <w:szCs w:val="24"/>
              <w:highlight w:val="none"/>
            </w:rPr>
            <w:t>般公共预算财政拨款支出决算明细表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_Toc16663 \h </w:instrText>
          </w:r>
          <w:r>
            <w:rPr>
              <w:rFonts w:hint="eastAsia" w:ascii="仿宋" w:hAnsi="仿宋" w:eastAsia="仿宋" w:cs="仿宋"/>
              <w:sz w:val="24"/>
              <w:szCs w:val="24"/>
            </w:rPr>
            <w:fldChar w:fldCharType="separate"/>
          </w:r>
          <w:r>
            <w:rPr>
              <w:rFonts w:hint="eastAsia" w:ascii="仿宋" w:hAnsi="仿宋" w:eastAsia="仿宋" w:cs="仿宋"/>
              <w:sz w:val="24"/>
              <w:szCs w:val="24"/>
            </w:rPr>
            <w:t>71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5"/>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_Toc31712 </w:instrText>
          </w:r>
          <w:r>
            <w:rPr>
              <w:rFonts w:hint="eastAsia" w:ascii="仿宋" w:hAnsi="仿宋" w:eastAsia="仿宋" w:cs="仿宋"/>
              <w:sz w:val="24"/>
              <w:szCs w:val="24"/>
            </w:rPr>
            <w:fldChar w:fldCharType="separate"/>
          </w:r>
          <w:r>
            <w:rPr>
              <w:rFonts w:hint="eastAsia" w:ascii="仿宋" w:hAnsi="仿宋" w:eastAsia="仿宋" w:cs="仿宋"/>
              <w:bCs w:val="0"/>
              <w:sz w:val="24"/>
              <w:szCs w:val="24"/>
              <w:highlight w:val="none"/>
            </w:rPr>
            <w:t>八、</w:t>
          </w:r>
          <w:r>
            <w:rPr>
              <w:rFonts w:hint="eastAsia" w:ascii="仿宋" w:hAnsi="仿宋" w:eastAsia="仿宋" w:cs="仿宋"/>
              <w:sz w:val="24"/>
              <w:szCs w:val="24"/>
              <w:highlight w:val="none"/>
            </w:rPr>
            <w:t>一</w:t>
          </w:r>
          <w:r>
            <w:rPr>
              <w:rFonts w:hint="eastAsia" w:ascii="仿宋" w:hAnsi="仿宋" w:eastAsia="仿宋" w:cs="仿宋"/>
              <w:bCs w:val="0"/>
              <w:sz w:val="24"/>
              <w:szCs w:val="24"/>
              <w:highlight w:val="none"/>
            </w:rPr>
            <w:t>般公共预算财政拨款基本支出决算表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_Toc31712 \h </w:instrText>
          </w:r>
          <w:r>
            <w:rPr>
              <w:rFonts w:hint="eastAsia" w:ascii="仿宋" w:hAnsi="仿宋" w:eastAsia="仿宋" w:cs="仿宋"/>
              <w:sz w:val="24"/>
              <w:szCs w:val="24"/>
            </w:rPr>
            <w:fldChar w:fldCharType="separate"/>
          </w:r>
          <w:r>
            <w:rPr>
              <w:rFonts w:hint="eastAsia" w:ascii="仿宋" w:hAnsi="仿宋" w:eastAsia="仿宋" w:cs="仿宋"/>
              <w:sz w:val="24"/>
              <w:szCs w:val="24"/>
            </w:rPr>
            <w:t>71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5"/>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_Toc6077 </w:instrText>
          </w:r>
          <w:r>
            <w:rPr>
              <w:rFonts w:hint="eastAsia" w:ascii="仿宋" w:hAnsi="仿宋" w:eastAsia="仿宋" w:cs="仿宋"/>
              <w:sz w:val="24"/>
              <w:szCs w:val="24"/>
            </w:rPr>
            <w:fldChar w:fldCharType="separate"/>
          </w:r>
          <w:r>
            <w:rPr>
              <w:rFonts w:hint="eastAsia" w:ascii="仿宋" w:hAnsi="仿宋" w:eastAsia="仿宋" w:cs="仿宋"/>
              <w:bCs w:val="0"/>
              <w:sz w:val="24"/>
              <w:szCs w:val="24"/>
              <w:highlight w:val="none"/>
            </w:rPr>
            <w:t>九、</w:t>
          </w:r>
          <w:r>
            <w:rPr>
              <w:rFonts w:hint="eastAsia" w:ascii="仿宋" w:hAnsi="仿宋" w:eastAsia="仿宋" w:cs="仿宋"/>
              <w:sz w:val="24"/>
              <w:szCs w:val="24"/>
              <w:highlight w:val="none"/>
            </w:rPr>
            <w:t>一</w:t>
          </w:r>
          <w:r>
            <w:rPr>
              <w:rFonts w:hint="eastAsia" w:ascii="仿宋" w:hAnsi="仿宋" w:eastAsia="仿宋" w:cs="仿宋"/>
              <w:bCs w:val="0"/>
              <w:sz w:val="24"/>
              <w:szCs w:val="24"/>
              <w:highlight w:val="none"/>
            </w:rPr>
            <w:t>般公共预算财政拨款项目支出决算表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_Toc6077 \h </w:instrText>
          </w:r>
          <w:r>
            <w:rPr>
              <w:rFonts w:hint="eastAsia" w:ascii="仿宋" w:hAnsi="仿宋" w:eastAsia="仿宋" w:cs="仿宋"/>
              <w:sz w:val="24"/>
              <w:szCs w:val="24"/>
            </w:rPr>
            <w:fldChar w:fldCharType="separate"/>
          </w:r>
          <w:r>
            <w:rPr>
              <w:rFonts w:hint="eastAsia" w:ascii="仿宋" w:hAnsi="仿宋" w:eastAsia="仿宋" w:cs="仿宋"/>
              <w:sz w:val="24"/>
              <w:szCs w:val="24"/>
            </w:rPr>
            <w:t>71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5"/>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_Toc8880 </w:instrText>
          </w:r>
          <w:r>
            <w:rPr>
              <w:rFonts w:hint="eastAsia" w:ascii="仿宋" w:hAnsi="仿宋" w:eastAsia="仿宋" w:cs="仿宋"/>
              <w:sz w:val="24"/>
              <w:szCs w:val="24"/>
            </w:rPr>
            <w:fldChar w:fldCharType="separate"/>
          </w:r>
          <w:r>
            <w:rPr>
              <w:rFonts w:hint="eastAsia" w:ascii="仿宋" w:hAnsi="仿宋" w:eastAsia="仿宋" w:cs="仿宋"/>
              <w:bCs w:val="0"/>
              <w:sz w:val="24"/>
              <w:szCs w:val="24"/>
              <w:highlight w:val="none"/>
            </w:rPr>
            <w:t>十、</w:t>
          </w:r>
          <w:r>
            <w:rPr>
              <w:rFonts w:hint="eastAsia" w:ascii="仿宋" w:hAnsi="仿宋" w:eastAsia="仿宋" w:cs="仿宋"/>
              <w:sz w:val="24"/>
              <w:szCs w:val="24"/>
              <w:highlight w:val="none"/>
            </w:rPr>
            <w:t>政</w:t>
          </w:r>
          <w:r>
            <w:rPr>
              <w:rFonts w:hint="eastAsia" w:ascii="仿宋" w:hAnsi="仿宋" w:eastAsia="仿宋" w:cs="仿宋"/>
              <w:bCs w:val="0"/>
              <w:sz w:val="24"/>
              <w:szCs w:val="24"/>
              <w:highlight w:val="none"/>
            </w:rPr>
            <w:t>府性基金预算财政拨款收入支出决算表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_Toc8880 \h </w:instrText>
          </w:r>
          <w:r>
            <w:rPr>
              <w:rFonts w:hint="eastAsia" w:ascii="仿宋" w:hAnsi="仿宋" w:eastAsia="仿宋" w:cs="仿宋"/>
              <w:sz w:val="24"/>
              <w:szCs w:val="24"/>
            </w:rPr>
            <w:fldChar w:fldCharType="separate"/>
          </w:r>
          <w:r>
            <w:rPr>
              <w:rFonts w:hint="eastAsia" w:ascii="仿宋" w:hAnsi="仿宋" w:eastAsia="仿宋" w:cs="仿宋"/>
              <w:sz w:val="24"/>
              <w:szCs w:val="24"/>
            </w:rPr>
            <w:t>71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5"/>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_Toc23717 </w:instrText>
          </w:r>
          <w:r>
            <w:rPr>
              <w:rFonts w:hint="eastAsia" w:ascii="仿宋" w:hAnsi="仿宋" w:eastAsia="仿宋" w:cs="仿宋"/>
              <w:sz w:val="24"/>
              <w:szCs w:val="24"/>
            </w:rPr>
            <w:fldChar w:fldCharType="separate"/>
          </w:r>
          <w:r>
            <w:rPr>
              <w:rFonts w:hint="eastAsia" w:ascii="仿宋" w:hAnsi="仿宋" w:eastAsia="仿宋" w:cs="仿宋"/>
              <w:bCs w:val="0"/>
              <w:sz w:val="24"/>
              <w:szCs w:val="24"/>
              <w:highlight w:val="none"/>
            </w:rPr>
            <w:t>十一、</w:t>
          </w:r>
          <w:r>
            <w:rPr>
              <w:rFonts w:hint="eastAsia" w:ascii="仿宋" w:hAnsi="仿宋" w:eastAsia="仿宋" w:cs="仿宋"/>
              <w:sz w:val="24"/>
              <w:szCs w:val="24"/>
              <w:highlight w:val="none"/>
            </w:rPr>
            <w:t>国</w:t>
          </w:r>
          <w:r>
            <w:rPr>
              <w:rFonts w:hint="eastAsia" w:ascii="仿宋" w:hAnsi="仿宋" w:eastAsia="仿宋" w:cs="仿宋"/>
              <w:bCs w:val="0"/>
              <w:sz w:val="24"/>
              <w:szCs w:val="24"/>
              <w:highlight w:val="none"/>
            </w:rPr>
            <w:t>有资本经营预算</w:t>
          </w:r>
          <w:r>
            <w:rPr>
              <w:rFonts w:hint="eastAsia" w:ascii="仿宋" w:hAnsi="仿宋" w:eastAsia="仿宋" w:cs="仿宋"/>
              <w:bCs w:val="0"/>
              <w:sz w:val="24"/>
              <w:szCs w:val="24"/>
              <w:highlight w:val="none"/>
              <w:lang w:eastAsia="zh-CN"/>
            </w:rPr>
            <w:t>财政拨款收入</w:t>
          </w:r>
          <w:r>
            <w:rPr>
              <w:rFonts w:hint="eastAsia" w:ascii="仿宋" w:hAnsi="仿宋" w:eastAsia="仿宋" w:cs="仿宋"/>
              <w:bCs w:val="0"/>
              <w:sz w:val="24"/>
              <w:szCs w:val="24"/>
              <w:highlight w:val="none"/>
            </w:rPr>
            <w:t>支出决算表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_Toc23717 \h </w:instrText>
          </w:r>
          <w:r>
            <w:rPr>
              <w:rFonts w:hint="eastAsia" w:ascii="仿宋" w:hAnsi="仿宋" w:eastAsia="仿宋" w:cs="仿宋"/>
              <w:sz w:val="24"/>
              <w:szCs w:val="24"/>
            </w:rPr>
            <w:fldChar w:fldCharType="separate"/>
          </w:r>
          <w:r>
            <w:rPr>
              <w:rFonts w:hint="eastAsia" w:ascii="仿宋" w:hAnsi="仿宋" w:eastAsia="仿宋" w:cs="仿宋"/>
              <w:sz w:val="24"/>
              <w:szCs w:val="24"/>
            </w:rPr>
            <w:t>71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5"/>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_Toc31497 </w:instrText>
          </w:r>
          <w:r>
            <w:rPr>
              <w:rFonts w:hint="eastAsia" w:ascii="仿宋" w:hAnsi="仿宋" w:eastAsia="仿宋" w:cs="仿宋"/>
              <w:sz w:val="24"/>
              <w:szCs w:val="24"/>
            </w:rPr>
            <w:fldChar w:fldCharType="separate"/>
          </w:r>
          <w:r>
            <w:rPr>
              <w:rFonts w:hint="eastAsia" w:ascii="仿宋" w:hAnsi="仿宋" w:eastAsia="仿宋" w:cs="仿宋"/>
              <w:bCs w:val="0"/>
              <w:sz w:val="24"/>
              <w:szCs w:val="24"/>
              <w:highlight w:val="none"/>
            </w:rPr>
            <w:t>十二、</w:t>
          </w:r>
          <w:r>
            <w:rPr>
              <w:rFonts w:hint="eastAsia" w:ascii="仿宋" w:hAnsi="仿宋" w:eastAsia="仿宋" w:cs="仿宋"/>
              <w:bCs w:val="0"/>
              <w:sz w:val="24"/>
              <w:szCs w:val="24"/>
              <w:highlight w:val="none"/>
              <w:lang w:eastAsia="zh-CN"/>
            </w:rPr>
            <w:t>国有资本经营预算财政拨款支出决算表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_Toc31497 \h </w:instrText>
          </w:r>
          <w:r>
            <w:rPr>
              <w:rFonts w:hint="eastAsia" w:ascii="仿宋" w:hAnsi="仿宋" w:eastAsia="仿宋" w:cs="仿宋"/>
              <w:sz w:val="24"/>
              <w:szCs w:val="24"/>
            </w:rPr>
            <w:fldChar w:fldCharType="separate"/>
          </w:r>
          <w:r>
            <w:rPr>
              <w:rFonts w:hint="eastAsia" w:ascii="仿宋" w:hAnsi="仿宋" w:eastAsia="仿宋" w:cs="仿宋"/>
              <w:sz w:val="24"/>
              <w:szCs w:val="24"/>
            </w:rPr>
            <w:t>71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5"/>
            <w:tabs>
              <w:tab w:val="right" w:leader="dot" w:pos="830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_Toc25862 </w:instrText>
          </w:r>
          <w:r>
            <w:rPr>
              <w:rFonts w:hint="eastAsia" w:ascii="仿宋" w:hAnsi="仿宋" w:eastAsia="仿宋" w:cs="仿宋"/>
              <w:sz w:val="24"/>
              <w:szCs w:val="24"/>
            </w:rPr>
            <w:fldChar w:fldCharType="separate"/>
          </w:r>
          <w:r>
            <w:rPr>
              <w:rFonts w:hint="eastAsia" w:ascii="仿宋" w:hAnsi="仿宋" w:eastAsia="仿宋" w:cs="仿宋"/>
              <w:bCs w:val="0"/>
              <w:sz w:val="24"/>
              <w:szCs w:val="24"/>
              <w:highlight w:val="none"/>
            </w:rPr>
            <w:t>十三、</w:t>
          </w:r>
          <w:r>
            <w:rPr>
              <w:rFonts w:hint="eastAsia" w:ascii="仿宋" w:hAnsi="仿宋" w:eastAsia="仿宋" w:cs="仿宋"/>
              <w:bCs w:val="0"/>
              <w:sz w:val="24"/>
              <w:szCs w:val="24"/>
              <w:highlight w:val="none"/>
              <w:lang w:eastAsia="zh-CN"/>
            </w:rPr>
            <w:t>财政拨款“三公”经费支出决算表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_Toc25862 \h </w:instrText>
          </w:r>
          <w:r>
            <w:rPr>
              <w:rFonts w:hint="eastAsia" w:ascii="仿宋" w:hAnsi="仿宋" w:eastAsia="仿宋" w:cs="仿宋"/>
              <w:sz w:val="24"/>
              <w:szCs w:val="24"/>
            </w:rPr>
            <w:fldChar w:fldCharType="separate"/>
          </w:r>
          <w:r>
            <w:rPr>
              <w:rFonts w:hint="eastAsia" w:ascii="仿宋" w:hAnsi="仿宋" w:eastAsia="仿宋" w:cs="仿宋"/>
              <w:sz w:val="24"/>
              <w:szCs w:val="24"/>
            </w:rPr>
            <w:t>71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r>
            <w:rPr>
              <w:b/>
              <w:sz w:val="24"/>
              <w:szCs w:val="24"/>
            </w:rPr>
            <w:fldChar w:fldCharType="end"/>
          </w:r>
        </w:p>
      </w:sdtContent>
    </w:sdt>
    <w:p>
      <w:pPr>
        <w:widowControl/>
        <w:spacing w:line="440" w:lineRule="exact"/>
        <w:jc w:val="left"/>
        <w:rPr>
          <w:rFonts w:hint="eastAsia" w:ascii="仿宋" w:hAnsi="仿宋" w:eastAsia="仿宋"/>
          <w:bCs/>
          <w:color w:val="auto"/>
          <w:kern w:val="44"/>
          <w:sz w:val="24"/>
          <w:highlight w:val="yellow"/>
          <w:lang w:eastAsia="zh-CN"/>
        </w:rPr>
      </w:pPr>
    </w:p>
    <w:p>
      <w:pPr>
        <w:pStyle w:val="2"/>
        <w:jc w:val="center"/>
        <w:rPr>
          <w:rFonts w:ascii="黑体" w:eastAsia="黑体"/>
          <w:color w:val="auto"/>
          <w:sz w:val="32"/>
          <w:szCs w:val="32"/>
          <w:highlight w:val="none"/>
        </w:rPr>
      </w:pPr>
      <w:bookmarkStart w:id="16" w:name="_Toc18520"/>
      <w:r>
        <w:rPr>
          <w:rFonts w:hint="eastAsia" w:ascii="黑体" w:hAnsi="黑体" w:eastAsia="黑体"/>
          <w:b w:val="0"/>
          <w:color w:val="auto"/>
          <w:highlight w:val="none"/>
        </w:rPr>
        <w:t xml:space="preserve">第一部分 </w:t>
      </w:r>
      <w:r>
        <w:rPr>
          <w:rStyle w:val="27"/>
          <w:rFonts w:hint="eastAsia" w:ascii="黑体" w:hAnsi="黑体" w:eastAsia="黑体"/>
          <w:b w:val="0"/>
          <w:bCs w:val="0"/>
          <w:color w:val="auto"/>
          <w:highlight w:val="none"/>
        </w:rPr>
        <w:t>部门概况</w:t>
      </w:r>
      <w:bookmarkEnd w:id="14"/>
      <w:bookmarkEnd w:id="15"/>
      <w:bookmarkEnd w:id="16"/>
    </w:p>
    <w:p>
      <w:pPr>
        <w:pStyle w:val="3"/>
        <w:rPr>
          <w:rFonts w:hint="eastAsia" w:ascii="黑体" w:hAnsi="黑体" w:eastAsia="黑体"/>
          <w:b w:val="0"/>
          <w:color w:val="auto"/>
          <w:highlight w:val="none"/>
          <w:lang w:eastAsia="zh-CN"/>
        </w:rPr>
      </w:pPr>
      <w:bookmarkStart w:id="17" w:name="_Toc15377197"/>
      <w:bookmarkStart w:id="18" w:name="_Toc15396600"/>
      <w:bookmarkStart w:id="19" w:name="_Toc7397"/>
      <w:r>
        <w:rPr>
          <w:rFonts w:hint="eastAsia" w:ascii="黑体" w:hAnsi="黑体" w:eastAsia="黑体"/>
          <w:b w:val="0"/>
          <w:color w:val="auto"/>
          <w:highlight w:val="none"/>
        </w:rPr>
        <w:t>一、</w:t>
      </w:r>
      <w:bookmarkEnd w:id="17"/>
      <w:bookmarkEnd w:id="18"/>
      <w:r>
        <w:rPr>
          <w:rFonts w:hint="eastAsia" w:ascii="黑体" w:hAnsi="黑体" w:eastAsia="黑体"/>
          <w:b w:val="0"/>
          <w:color w:val="auto"/>
          <w:highlight w:val="none"/>
          <w:lang w:eastAsia="zh-CN"/>
        </w:rPr>
        <w:t>部门职责</w:t>
      </w:r>
      <w:bookmarkEnd w:id="19"/>
    </w:p>
    <w:p>
      <w:pPr>
        <w:ind w:firstLine="800" w:firstLineChars="25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1.贯彻执行产品质量检验检测的方针、政策、法律法规以及市委、市政府的决策部署；</w:t>
      </w:r>
    </w:p>
    <w:p>
      <w:pPr>
        <w:ind w:firstLine="800" w:firstLineChars="25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2.负责食品、药品、保健食品、化妆品、综合性农产品、农业投入品、农业产地环境及工业产品质量与安全相关的检验检测及技术复核，为行政执法部门依法行政提供技术支撑；</w:t>
      </w:r>
    </w:p>
    <w:p>
      <w:pPr>
        <w:ind w:firstLine="800" w:firstLineChars="25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3.组织实施国家、省、市下达的食品、药品、保健品、化妆品、综合性农产品、农业投入品、农业产地环境及工业产品质量安全监督抽检任务；</w:t>
      </w:r>
    </w:p>
    <w:p>
      <w:pPr>
        <w:ind w:firstLine="800" w:firstLineChars="25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4.指导全市县级食品、药品、综合性农产品、工业产品检验检测单位及相关生产、经营、使用单位质量检验机构的业务技术工作，协助解决技术疑难问题；</w:t>
      </w:r>
    </w:p>
    <w:p>
      <w:pPr>
        <w:ind w:firstLine="800" w:firstLineChars="25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5.负责辖区医疗机构制剂品种注册审批的检验工作；</w:t>
      </w:r>
    </w:p>
    <w:p>
      <w:pPr>
        <w:ind w:firstLine="800" w:firstLineChars="25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6.负责收集、整理、综合上报和反馈食品、药品、保健食品、化妆品、综合性农产品及工业产品的质量信息，提供质量公告所需的技术数据和质量分析报告；</w:t>
      </w:r>
    </w:p>
    <w:p>
      <w:pPr>
        <w:ind w:firstLine="800" w:firstLineChars="25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7.开展食品、药品、保健食品、化妆品、综合性农产品及工业产品的质量安全预警工作；</w:t>
      </w:r>
    </w:p>
    <w:p>
      <w:pPr>
        <w:ind w:firstLine="800" w:firstLineChars="25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8.承担本市食品、药品、保健食品、化妆品、综合性农产品及工业产品质量安全突发事件中应急检测任务；</w:t>
      </w:r>
    </w:p>
    <w:p>
      <w:pPr>
        <w:ind w:firstLine="800" w:firstLineChars="25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9.开展食品、药品、保健食品、化妆品、综合性农产品及工业产品的质量标准、检验方法及相关安全性、有效性的研究工作；</w:t>
      </w:r>
    </w:p>
    <w:p>
      <w:pPr>
        <w:ind w:firstLine="800" w:firstLineChars="25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10.承担上级业务主管部门交办及有关部门委托办理的其他工作。</w:t>
      </w:r>
    </w:p>
    <w:p>
      <w:pPr>
        <w:pStyle w:val="11"/>
        <w:rPr>
          <w:rFonts w:hint="eastAsia"/>
          <w:lang w:eastAsia="zh-CN"/>
        </w:rPr>
      </w:pPr>
    </w:p>
    <w:p>
      <w:pPr>
        <w:pStyle w:val="3"/>
        <w:rPr>
          <w:rStyle w:val="28"/>
          <w:b w:val="0"/>
          <w:bCs w:val="0"/>
          <w:color w:val="auto"/>
          <w:highlight w:val="none"/>
        </w:rPr>
      </w:pPr>
      <w:bookmarkStart w:id="20" w:name="_Toc15396601"/>
      <w:bookmarkStart w:id="21" w:name="_Toc30462"/>
      <w:bookmarkStart w:id="22" w:name="_Toc15377200"/>
      <w:r>
        <w:rPr>
          <w:rFonts w:hint="eastAsia" w:ascii="黑体" w:eastAsia="黑体"/>
          <w:b w:val="0"/>
          <w:color w:val="auto"/>
          <w:highlight w:val="none"/>
        </w:rPr>
        <w:t>二、</w:t>
      </w:r>
      <w:r>
        <w:rPr>
          <w:rFonts w:hint="eastAsia" w:ascii="黑体" w:hAnsi="黑体" w:eastAsia="黑体"/>
          <w:b w:val="0"/>
          <w:color w:val="auto"/>
          <w:highlight w:val="none"/>
        </w:rPr>
        <w:t>机</w:t>
      </w:r>
      <w:r>
        <w:rPr>
          <w:rStyle w:val="28"/>
          <w:rFonts w:hint="eastAsia" w:ascii="黑体" w:hAnsi="黑体" w:eastAsia="黑体"/>
          <w:b w:val="0"/>
          <w:bCs w:val="0"/>
          <w:color w:val="auto"/>
          <w:highlight w:val="none"/>
        </w:rPr>
        <w:t>构设置</w:t>
      </w:r>
      <w:bookmarkEnd w:id="20"/>
      <w:bookmarkEnd w:id="21"/>
      <w:bookmarkEnd w:id="22"/>
    </w:p>
    <w:p>
      <w:pPr>
        <w:ind w:firstLine="800" w:firstLineChars="250"/>
        <w:rPr>
          <w:rFonts w:ascii="仿宋" w:hAnsi="仿宋" w:eastAsia="仿宋"/>
          <w:color w:val="auto"/>
          <w:sz w:val="32"/>
          <w:szCs w:val="32"/>
          <w:highlight w:val="none"/>
        </w:rPr>
      </w:pPr>
      <w:r>
        <w:rPr>
          <w:rFonts w:hint="eastAsia" w:ascii="仿宋" w:hAnsi="仿宋" w:eastAsia="仿宋"/>
          <w:color w:val="auto"/>
          <w:sz w:val="32"/>
          <w:szCs w:val="32"/>
          <w:highlight w:val="none"/>
          <w:lang w:val="en-US" w:eastAsia="zh-CN"/>
        </w:rPr>
        <w:t>巴中市产品质量检验检测中心</w:t>
      </w:r>
      <w:r>
        <w:rPr>
          <w:rFonts w:hint="eastAsia" w:ascii="仿宋" w:hAnsi="仿宋" w:eastAsia="仿宋"/>
          <w:color w:val="auto"/>
          <w:sz w:val="32"/>
          <w:szCs w:val="32"/>
          <w:highlight w:val="none"/>
        </w:rPr>
        <w:t>下属二级</w:t>
      </w:r>
      <w:r>
        <w:rPr>
          <w:rFonts w:hint="eastAsia" w:ascii="仿宋" w:hAnsi="仿宋" w:eastAsia="仿宋"/>
          <w:color w:val="auto"/>
          <w:sz w:val="32"/>
          <w:szCs w:val="32"/>
          <w:highlight w:val="none"/>
          <w:lang w:eastAsia="zh-CN"/>
        </w:rPr>
        <w:t>预算</w:t>
      </w:r>
      <w:r>
        <w:rPr>
          <w:rFonts w:hint="eastAsia" w:ascii="仿宋" w:hAnsi="仿宋" w:eastAsia="仿宋"/>
          <w:color w:val="auto"/>
          <w:sz w:val="32"/>
          <w:szCs w:val="32"/>
          <w:highlight w:val="none"/>
        </w:rPr>
        <w:t>单位</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个，其中行政单位</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个，参照公务员法管理的事业单位</w:t>
      </w:r>
      <w:r>
        <w:rPr>
          <w:rFonts w:hint="eastAsia" w:ascii="仿宋" w:hAnsi="仿宋" w:eastAsia="仿宋"/>
          <w:bCs/>
          <w:color w:val="auto"/>
          <w:sz w:val="32"/>
          <w:szCs w:val="32"/>
          <w:highlight w:val="none"/>
          <w:lang w:val="en-US" w:eastAsia="zh-CN"/>
        </w:rPr>
        <w:t>0</w:t>
      </w:r>
      <w:r>
        <w:rPr>
          <w:rFonts w:hint="eastAsia" w:ascii="仿宋" w:hAnsi="仿宋" w:eastAsia="仿宋"/>
          <w:color w:val="auto"/>
          <w:sz w:val="32"/>
          <w:szCs w:val="32"/>
          <w:highlight w:val="none"/>
        </w:rPr>
        <w:t>个，其他事业单位</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个。</w:t>
      </w:r>
    </w:p>
    <w:p>
      <w:pPr>
        <w:widowControl/>
        <w:jc w:val="left"/>
        <w:rPr>
          <w:rFonts w:ascii="仿宋" w:hAnsi="仿宋" w:eastAsia="仿宋"/>
          <w:color w:val="auto"/>
          <w:kern w:val="0"/>
          <w:sz w:val="32"/>
          <w:szCs w:val="32"/>
          <w:highlight w:val="none"/>
        </w:rPr>
      </w:pPr>
      <w:r>
        <w:rPr>
          <w:rFonts w:ascii="仿宋" w:hAnsi="仿宋" w:eastAsia="仿宋"/>
          <w:color w:val="auto"/>
          <w:sz w:val="32"/>
          <w:szCs w:val="32"/>
          <w:highlight w:val="none"/>
        </w:rPr>
        <w:br w:type="page"/>
      </w:r>
    </w:p>
    <w:p>
      <w:pPr>
        <w:pStyle w:val="2"/>
        <w:ind w:right="440"/>
        <w:jc w:val="center"/>
        <w:rPr>
          <w:rStyle w:val="27"/>
          <w:rFonts w:ascii="黑体" w:hAnsi="黑体" w:eastAsia="黑体"/>
          <w:b w:val="0"/>
          <w:bCs/>
          <w:color w:val="auto"/>
          <w:highlight w:val="none"/>
        </w:rPr>
      </w:pPr>
      <w:bookmarkStart w:id="23" w:name="_Toc13386"/>
      <w:bookmarkStart w:id="24" w:name="_Toc15377204"/>
      <w:bookmarkStart w:id="25" w:name="_Toc15396602"/>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2022年度</w:t>
      </w:r>
      <w:r>
        <w:rPr>
          <w:rStyle w:val="27"/>
          <w:rFonts w:hint="eastAsia" w:ascii="黑体" w:hAnsi="黑体" w:eastAsia="黑体"/>
          <w:b w:val="0"/>
          <w:bCs/>
          <w:color w:val="auto"/>
          <w:highlight w:val="none"/>
        </w:rPr>
        <w:t>部门决算情况说明</w:t>
      </w:r>
      <w:bookmarkEnd w:id="23"/>
      <w:bookmarkEnd w:id="24"/>
      <w:bookmarkEnd w:id="25"/>
    </w:p>
    <w:p>
      <w:pPr>
        <w:rPr>
          <w:color w:val="auto"/>
          <w:highlight w:val="none"/>
        </w:rPr>
      </w:pPr>
    </w:p>
    <w:p>
      <w:pPr>
        <w:pStyle w:val="26"/>
        <w:numPr>
          <w:ilvl w:val="0"/>
          <w:numId w:val="1"/>
        </w:numPr>
        <w:spacing w:line="600" w:lineRule="exact"/>
        <w:ind w:firstLineChars="0"/>
        <w:outlineLvl w:val="1"/>
        <w:rPr>
          <w:rStyle w:val="28"/>
          <w:rFonts w:ascii="黑体" w:hAnsi="黑体" w:eastAsia="黑体"/>
          <w:b w:val="0"/>
          <w:color w:val="auto"/>
          <w:highlight w:val="none"/>
        </w:rPr>
      </w:pPr>
      <w:bookmarkStart w:id="26" w:name="_Toc30653"/>
      <w:bookmarkStart w:id="27" w:name="_Toc15377205"/>
      <w:bookmarkStart w:id="28" w:name="_Toc15396603"/>
      <w:r>
        <w:rPr>
          <w:rFonts w:hint="eastAsia" w:ascii="黑体" w:hAnsi="黑体" w:eastAsia="黑体"/>
          <w:color w:val="auto"/>
          <w:sz w:val="32"/>
          <w:szCs w:val="32"/>
          <w:highlight w:val="none"/>
        </w:rPr>
        <w:t>收</w:t>
      </w:r>
      <w:r>
        <w:rPr>
          <w:rStyle w:val="28"/>
          <w:rFonts w:hint="eastAsia" w:ascii="黑体" w:hAnsi="黑体" w:eastAsia="黑体"/>
          <w:b w:val="0"/>
          <w:color w:val="auto"/>
          <w:highlight w:val="none"/>
        </w:rPr>
        <w:t>入支出决算总体情况说明</w:t>
      </w:r>
      <w:bookmarkEnd w:id="26"/>
      <w:bookmarkEnd w:id="27"/>
      <w:bookmarkEnd w:id="28"/>
    </w:p>
    <w:p>
      <w:pPr>
        <w:spacing w:line="600" w:lineRule="exact"/>
        <w:ind w:firstLine="640" w:firstLineChars="20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年度收、支总计</w:t>
      </w:r>
      <w:r>
        <w:rPr>
          <w:rFonts w:hint="eastAsia" w:ascii="仿宋" w:hAnsi="仿宋" w:eastAsia="仿宋"/>
          <w:color w:val="auto"/>
          <w:sz w:val="32"/>
          <w:szCs w:val="32"/>
          <w:highlight w:val="none"/>
          <w:lang w:val="en-US" w:eastAsia="zh-CN"/>
        </w:rPr>
        <w:t>3,175.62</w:t>
      </w:r>
      <w:r>
        <w:rPr>
          <w:rFonts w:hint="eastAsia" w:ascii="仿宋" w:hAnsi="仿宋" w:eastAsia="仿宋"/>
          <w:color w:val="auto"/>
          <w:sz w:val="32"/>
          <w:szCs w:val="32"/>
          <w:highlight w:val="none"/>
        </w:rPr>
        <w:t>万元。与20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年相比，收、支总计各增加</w:t>
      </w:r>
      <w:r>
        <w:rPr>
          <w:rFonts w:hint="eastAsia" w:ascii="仿宋" w:hAnsi="仿宋" w:eastAsia="仿宋"/>
          <w:color w:val="auto"/>
          <w:sz w:val="32"/>
          <w:szCs w:val="32"/>
          <w:highlight w:val="none"/>
          <w:lang w:val="en-US" w:eastAsia="zh-CN"/>
        </w:rPr>
        <w:t>162.92</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5.13</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基本支出增加</w:t>
      </w:r>
      <w:r>
        <w:rPr>
          <w:rFonts w:hint="eastAsia" w:ascii="仿宋" w:hAnsi="仿宋" w:eastAsia="仿宋"/>
          <w:color w:val="auto"/>
          <w:sz w:val="32"/>
          <w:szCs w:val="32"/>
          <w:highlight w:val="none"/>
          <w:lang w:eastAsia="zh-CN"/>
        </w:rPr>
        <w:t>。</w:t>
      </w:r>
    </w:p>
    <w:p>
      <w:pPr>
        <w:pStyle w:val="5"/>
        <w:rPr>
          <w:rFonts w:hint="eastAsia"/>
          <w:lang w:eastAsia="zh-CN"/>
        </w:rPr>
      </w:pPr>
      <w:r>
        <w:drawing>
          <wp:inline distT="0" distB="0" distL="114300" distR="114300">
            <wp:extent cx="4160520" cy="2926080"/>
            <wp:effectExtent l="4445" t="4445" r="10795" b="10795"/>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w:t>
      </w:r>
      <w:r>
        <w:rPr>
          <w:rFonts w:ascii="仿宋" w:hAnsi="仿宋" w:eastAsia="仿宋"/>
          <w:color w:val="auto"/>
          <w:sz w:val="32"/>
          <w:szCs w:val="32"/>
          <w:highlight w:val="none"/>
        </w:rPr>
        <w:t>1</w:t>
      </w:r>
      <w:r>
        <w:rPr>
          <w:rFonts w:hint="eastAsia" w:ascii="仿宋" w:hAnsi="仿宋" w:eastAsia="仿宋"/>
          <w:color w:val="auto"/>
          <w:sz w:val="32"/>
          <w:szCs w:val="32"/>
          <w:highlight w:val="none"/>
        </w:rPr>
        <w:t>：收、支决算总计变动情况图）（柱状图）</w:t>
      </w:r>
    </w:p>
    <w:p>
      <w:pPr>
        <w:spacing w:line="600" w:lineRule="exact"/>
        <w:ind w:firstLine="640" w:firstLineChars="200"/>
        <w:jc w:val="left"/>
        <w:rPr>
          <w:rFonts w:ascii="仿宋_GB2312" w:eastAsia="仿宋_GB2312"/>
          <w:color w:val="auto"/>
          <w:sz w:val="32"/>
          <w:szCs w:val="32"/>
          <w:highlight w:val="none"/>
        </w:rPr>
      </w:pPr>
    </w:p>
    <w:p>
      <w:pPr>
        <w:pStyle w:val="26"/>
        <w:numPr>
          <w:ilvl w:val="0"/>
          <w:numId w:val="1"/>
        </w:numPr>
        <w:spacing w:line="600" w:lineRule="exact"/>
        <w:ind w:firstLineChars="0"/>
        <w:outlineLvl w:val="1"/>
        <w:rPr>
          <w:rStyle w:val="28"/>
          <w:rFonts w:ascii="黑体" w:hAnsi="黑体" w:eastAsia="黑体"/>
          <w:b w:val="0"/>
          <w:color w:val="auto"/>
          <w:highlight w:val="none"/>
        </w:rPr>
      </w:pPr>
      <w:bookmarkStart w:id="29" w:name="_Toc15377206"/>
      <w:bookmarkStart w:id="30" w:name="_Toc15396604"/>
      <w:bookmarkStart w:id="31" w:name="_Toc25008"/>
      <w:r>
        <w:rPr>
          <w:rFonts w:hint="eastAsia" w:ascii="黑体" w:hAnsi="黑体" w:eastAsia="黑体"/>
          <w:color w:val="auto"/>
          <w:sz w:val="32"/>
          <w:szCs w:val="32"/>
          <w:highlight w:val="none"/>
        </w:rPr>
        <w:t>收</w:t>
      </w:r>
      <w:r>
        <w:rPr>
          <w:rStyle w:val="28"/>
          <w:rFonts w:hint="eastAsia" w:ascii="黑体" w:hAnsi="黑体" w:eastAsia="黑体"/>
          <w:b w:val="0"/>
          <w:color w:val="auto"/>
          <w:highlight w:val="none"/>
        </w:rPr>
        <w:t>入决算情况说明</w:t>
      </w:r>
      <w:bookmarkEnd w:id="29"/>
      <w:bookmarkEnd w:id="30"/>
      <w:bookmarkEnd w:id="31"/>
    </w:p>
    <w:p>
      <w:pPr>
        <w:spacing w:line="600" w:lineRule="exact"/>
        <w:ind w:firstLine="640" w:firstLineChars="200"/>
        <w:outlineLvl w:val="1"/>
        <w:rPr>
          <w:rFonts w:hint="eastAsia" w:ascii="仿宋" w:hAnsi="仿宋" w:eastAsia="仿宋"/>
          <w:b/>
          <w:color w:val="auto"/>
          <w:sz w:val="32"/>
          <w:szCs w:val="32"/>
          <w:highlight w:val="none"/>
          <w:lang w:eastAsia="zh-CN"/>
        </w:rPr>
      </w:pPr>
      <w:bookmarkStart w:id="32" w:name="_Toc4707"/>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年本年收入合计</w:t>
      </w:r>
      <w:r>
        <w:rPr>
          <w:rFonts w:hint="eastAsia" w:ascii="仿宋" w:hAnsi="仿宋" w:eastAsia="仿宋"/>
          <w:color w:val="auto"/>
          <w:sz w:val="32"/>
          <w:szCs w:val="32"/>
          <w:highlight w:val="none"/>
          <w:lang w:val="en-US" w:eastAsia="zh-CN"/>
        </w:rPr>
        <w:t>1,408.56</w:t>
      </w:r>
      <w:r>
        <w:rPr>
          <w:rFonts w:hint="eastAsia" w:ascii="仿宋" w:hAnsi="仿宋" w:eastAsia="仿宋"/>
          <w:color w:val="auto"/>
          <w:sz w:val="32"/>
          <w:szCs w:val="32"/>
          <w:highlight w:val="none"/>
        </w:rPr>
        <w:t>万元，其中：一般公共预算财政拨款收入</w:t>
      </w:r>
      <w:r>
        <w:rPr>
          <w:rFonts w:hint="eastAsia" w:ascii="仿宋" w:hAnsi="仿宋" w:eastAsia="仿宋"/>
          <w:color w:val="auto"/>
          <w:sz w:val="32"/>
          <w:szCs w:val="32"/>
          <w:highlight w:val="none"/>
          <w:lang w:val="en-US" w:eastAsia="zh-CN"/>
        </w:rPr>
        <w:t>1,408.56</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100.00</w:t>
      </w:r>
      <w:r>
        <w:rPr>
          <w:rFonts w:ascii="仿宋" w:hAnsi="仿宋" w:eastAsia="仿宋"/>
          <w:color w:val="auto"/>
          <w:sz w:val="32"/>
          <w:szCs w:val="32"/>
          <w:highlight w:val="none"/>
        </w:rPr>
        <w:t>%</w:t>
      </w:r>
      <w:bookmarkEnd w:id="32"/>
      <w:r>
        <w:rPr>
          <w:rFonts w:hint="eastAsia" w:ascii="仿宋" w:hAnsi="仿宋" w:eastAsia="仿宋"/>
          <w:color w:val="auto"/>
          <w:sz w:val="32"/>
          <w:szCs w:val="32"/>
          <w:highlight w:val="none"/>
          <w:lang w:eastAsia="zh-CN"/>
        </w:rPr>
        <w:t>。</w:t>
      </w:r>
    </w:p>
    <w:p>
      <w:pPr>
        <w:spacing w:line="600" w:lineRule="exact"/>
        <w:outlineLvl w:val="9"/>
        <w:rPr>
          <w:rFonts w:ascii="仿宋" w:hAnsi="仿宋" w:eastAsia="仿宋"/>
          <w:color w:val="auto"/>
          <w:sz w:val="32"/>
          <w:szCs w:val="32"/>
          <w:highlight w:val="none"/>
        </w:rPr>
      </w:pPr>
      <w:r>
        <w:drawing>
          <wp:anchor distT="0" distB="0" distL="114300" distR="114300" simplePos="0" relativeHeight="251659264" behindDoc="0" locked="0" layoutInCell="1" allowOverlap="1">
            <wp:simplePos x="0" y="0"/>
            <wp:positionH relativeFrom="column">
              <wp:posOffset>271145</wp:posOffset>
            </wp:positionH>
            <wp:positionV relativeFrom="paragraph">
              <wp:posOffset>-2631440</wp:posOffset>
            </wp:positionV>
            <wp:extent cx="4091940" cy="2926080"/>
            <wp:effectExtent l="4445" t="5080" r="18415" b="10160"/>
            <wp:wrapTopAndBottom/>
            <wp:docPr id="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（图2：收入决算结构图）（饼状图）</w:t>
      </w:r>
    </w:p>
    <w:p>
      <w:pPr>
        <w:spacing w:line="600" w:lineRule="exact"/>
        <w:ind w:firstLine="640" w:firstLineChars="200"/>
        <w:rPr>
          <w:rFonts w:ascii="仿宋_GB2312" w:eastAsia="仿宋_GB2312"/>
          <w:color w:val="auto"/>
          <w:sz w:val="32"/>
          <w:szCs w:val="32"/>
          <w:highlight w:val="none"/>
        </w:rPr>
      </w:pPr>
    </w:p>
    <w:p>
      <w:pPr>
        <w:pStyle w:val="26"/>
        <w:numPr>
          <w:ilvl w:val="0"/>
          <w:numId w:val="1"/>
        </w:numPr>
        <w:spacing w:line="600" w:lineRule="exact"/>
        <w:ind w:firstLineChars="0"/>
        <w:outlineLvl w:val="1"/>
        <w:rPr>
          <w:rStyle w:val="28"/>
          <w:rFonts w:ascii="黑体" w:hAnsi="黑体" w:eastAsia="黑体"/>
          <w:b w:val="0"/>
          <w:color w:val="auto"/>
          <w:highlight w:val="none"/>
        </w:rPr>
      </w:pPr>
      <w:bookmarkStart w:id="33" w:name="_Toc15377207"/>
      <w:bookmarkStart w:id="34" w:name="_Toc15396605"/>
      <w:bookmarkStart w:id="35" w:name="_Toc834"/>
      <w:r>
        <w:rPr>
          <w:rFonts w:hint="eastAsia" w:ascii="黑体" w:hAnsi="黑体" w:eastAsia="黑体"/>
          <w:color w:val="auto"/>
          <w:sz w:val="32"/>
          <w:szCs w:val="32"/>
          <w:highlight w:val="none"/>
        </w:rPr>
        <w:t>支</w:t>
      </w:r>
      <w:r>
        <w:rPr>
          <w:rStyle w:val="28"/>
          <w:rFonts w:hint="eastAsia" w:ascii="黑体" w:hAnsi="黑体" w:eastAsia="黑体"/>
          <w:b w:val="0"/>
          <w:color w:val="auto"/>
          <w:highlight w:val="none"/>
        </w:rPr>
        <w:t>出决算情况说明</w:t>
      </w:r>
      <w:bookmarkEnd w:id="33"/>
      <w:bookmarkEnd w:id="34"/>
      <w:bookmarkEnd w:id="35"/>
    </w:p>
    <w:p>
      <w:pPr>
        <w:spacing w:line="600" w:lineRule="exact"/>
        <w:ind w:firstLine="420" w:firstLineChars="200"/>
        <w:outlineLvl w:val="1"/>
        <w:rPr>
          <w:rFonts w:ascii="仿宋" w:hAnsi="仿宋" w:eastAsia="仿宋"/>
          <w:color w:val="auto"/>
          <w:sz w:val="32"/>
          <w:szCs w:val="32"/>
          <w:highlight w:val="none"/>
          <w:shd w:val="pct10" w:color="auto" w:fill="FFFFFF"/>
        </w:rPr>
      </w:pPr>
      <w:bookmarkStart w:id="36" w:name="_Toc10582"/>
      <w:r>
        <w:drawing>
          <wp:anchor distT="0" distB="0" distL="114300" distR="114300" simplePos="0" relativeHeight="251660288" behindDoc="0" locked="0" layoutInCell="1" allowOverlap="1">
            <wp:simplePos x="0" y="0"/>
            <wp:positionH relativeFrom="column">
              <wp:posOffset>173355</wp:posOffset>
            </wp:positionH>
            <wp:positionV relativeFrom="paragraph">
              <wp:posOffset>829310</wp:posOffset>
            </wp:positionV>
            <wp:extent cx="4135120" cy="2926080"/>
            <wp:effectExtent l="4445" t="4445" r="5715" b="10795"/>
            <wp:wrapTopAndBottom/>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年本年支出合计</w:t>
      </w:r>
      <w:r>
        <w:rPr>
          <w:rFonts w:hint="eastAsia" w:ascii="仿宋" w:hAnsi="仿宋" w:eastAsia="仿宋"/>
          <w:color w:val="auto"/>
          <w:sz w:val="32"/>
          <w:szCs w:val="32"/>
          <w:highlight w:val="none"/>
          <w:lang w:val="en-US" w:eastAsia="zh-CN"/>
        </w:rPr>
        <w:t>1,587.41</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1162.5</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73.23</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val="en-US" w:eastAsia="zh-CN"/>
        </w:rPr>
        <w:t>424.91</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26.77</w:t>
      </w:r>
      <w:r>
        <w:rPr>
          <w:rFonts w:ascii="仿宋" w:hAnsi="仿宋" w:eastAsia="仿宋"/>
          <w:color w:val="auto"/>
          <w:sz w:val="32"/>
          <w:szCs w:val="32"/>
          <w:highlight w:val="none"/>
        </w:rPr>
        <w:t>%</w:t>
      </w:r>
      <w:bookmarkEnd w:id="36"/>
      <w:r>
        <w:rPr>
          <w:rFonts w:hint="eastAsia" w:ascii="仿宋" w:hAnsi="仿宋" w:eastAsia="仿宋"/>
          <w:color w:val="auto"/>
          <w:sz w:val="32"/>
          <w:szCs w:val="32"/>
          <w:highlight w:val="none"/>
          <w:lang w:eastAsia="zh-CN"/>
        </w:rPr>
        <w:t>。</w:t>
      </w:r>
    </w:p>
    <w:p>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（图3：支出决算结构图）（饼状图）</w:t>
      </w:r>
    </w:p>
    <w:p>
      <w:pPr>
        <w:spacing w:line="600" w:lineRule="exact"/>
        <w:ind w:firstLine="640" w:firstLineChars="200"/>
        <w:rPr>
          <w:rFonts w:ascii="仿宋_GB2312" w:eastAsia="仿宋_GB2312"/>
          <w:color w:val="auto"/>
          <w:sz w:val="32"/>
          <w:szCs w:val="32"/>
          <w:highlight w:val="none"/>
        </w:rPr>
      </w:pPr>
    </w:p>
    <w:p>
      <w:pPr>
        <w:spacing w:line="600" w:lineRule="exact"/>
        <w:ind w:firstLine="640" w:firstLineChars="200"/>
        <w:outlineLvl w:val="1"/>
        <w:rPr>
          <w:rStyle w:val="28"/>
          <w:rFonts w:ascii="黑体" w:hAnsi="黑体" w:eastAsia="黑体"/>
          <w:b w:val="0"/>
          <w:color w:val="auto"/>
          <w:highlight w:val="none"/>
        </w:rPr>
      </w:pPr>
      <w:bookmarkStart w:id="37" w:name="_Toc11972"/>
      <w:bookmarkStart w:id="38" w:name="_Toc15396606"/>
      <w:bookmarkStart w:id="39" w:name="_Toc15377208"/>
      <w:r>
        <w:rPr>
          <w:rFonts w:hint="eastAsia" w:ascii="黑体" w:hAnsi="黑体" w:eastAsia="黑体"/>
          <w:color w:val="auto"/>
          <w:sz w:val="32"/>
          <w:szCs w:val="32"/>
          <w:highlight w:val="none"/>
        </w:rPr>
        <w:t>四、财</w:t>
      </w:r>
      <w:r>
        <w:rPr>
          <w:rStyle w:val="28"/>
          <w:rFonts w:hint="eastAsia" w:ascii="黑体" w:hAnsi="黑体" w:eastAsia="黑体"/>
          <w:b w:val="0"/>
          <w:color w:val="auto"/>
          <w:highlight w:val="none"/>
        </w:rPr>
        <w:t>政拨款收入支出决算总体情况说明</w:t>
      </w:r>
      <w:bookmarkEnd w:id="37"/>
      <w:bookmarkEnd w:id="38"/>
      <w:bookmarkEnd w:id="39"/>
    </w:p>
    <w:p>
      <w:pPr>
        <w:spacing w:line="600" w:lineRule="exact"/>
        <w:ind w:firstLine="64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年财政拨款收、支总计</w:t>
      </w:r>
      <w:r>
        <w:rPr>
          <w:rFonts w:hint="eastAsia" w:ascii="仿宋" w:hAnsi="仿宋" w:eastAsia="仿宋"/>
          <w:color w:val="auto"/>
          <w:sz w:val="32"/>
          <w:szCs w:val="32"/>
          <w:highlight w:val="none"/>
          <w:lang w:val="en-US" w:eastAsia="zh-CN"/>
        </w:rPr>
        <w:t>3,175.62</w:t>
      </w:r>
      <w:r>
        <w:rPr>
          <w:rFonts w:hint="eastAsia" w:ascii="仿宋" w:hAnsi="仿宋" w:eastAsia="仿宋"/>
          <w:color w:val="auto"/>
          <w:sz w:val="32"/>
          <w:szCs w:val="32"/>
          <w:highlight w:val="none"/>
        </w:rPr>
        <w:t>万元。与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w:t>
      </w:r>
      <w:r>
        <w:drawing>
          <wp:anchor distT="0" distB="0" distL="114300" distR="114300" simplePos="0" relativeHeight="251661312" behindDoc="0" locked="0" layoutInCell="1" allowOverlap="1">
            <wp:simplePos x="0" y="0"/>
            <wp:positionH relativeFrom="column">
              <wp:posOffset>63500</wp:posOffset>
            </wp:positionH>
            <wp:positionV relativeFrom="paragraph">
              <wp:posOffset>918845</wp:posOffset>
            </wp:positionV>
            <wp:extent cx="4098290" cy="2926080"/>
            <wp:effectExtent l="4445" t="4445" r="12065" b="10795"/>
            <wp:wrapTopAndBottom/>
            <wp:docPr id="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eastAsia" w:ascii="仿宋" w:hAnsi="仿宋" w:eastAsia="仿宋"/>
          <w:color w:val="auto"/>
          <w:sz w:val="32"/>
          <w:szCs w:val="32"/>
          <w:highlight w:val="none"/>
        </w:rPr>
        <w:t>相比，财政拨款收、支总计各增加</w:t>
      </w:r>
      <w:r>
        <w:rPr>
          <w:rFonts w:hint="eastAsia" w:ascii="仿宋" w:hAnsi="仿宋" w:eastAsia="仿宋"/>
          <w:color w:val="auto"/>
          <w:sz w:val="32"/>
          <w:szCs w:val="32"/>
          <w:highlight w:val="none"/>
          <w:lang w:val="en-US" w:eastAsia="zh-CN"/>
        </w:rPr>
        <w:t>162.92</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5.13</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基本支出增加。</w:t>
      </w:r>
    </w:p>
    <w:p>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（图4：财政拨款收、支决算总计变动情况）（柱状图）</w:t>
      </w:r>
    </w:p>
    <w:p>
      <w:pPr>
        <w:spacing w:line="600" w:lineRule="exact"/>
        <w:ind w:firstLine="640"/>
        <w:rPr>
          <w:rFonts w:ascii="仿宋" w:hAnsi="仿宋" w:eastAsia="仿宋"/>
          <w:b/>
          <w:color w:val="auto"/>
          <w:sz w:val="32"/>
          <w:szCs w:val="32"/>
          <w:highlight w:val="none"/>
        </w:rPr>
      </w:pPr>
    </w:p>
    <w:p>
      <w:pPr>
        <w:spacing w:line="600" w:lineRule="exact"/>
        <w:ind w:firstLine="640" w:firstLineChars="200"/>
        <w:outlineLvl w:val="1"/>
        <w:rPr>
          <w:rStyle w:val="28"/>
          <w:rFonts w:ascii="黑体" w:hAnsi="黑体" w:eastAsia="黑体"/>
          <w:b w:val="0"/>
          <w:color w:val="auto"/>
          <w:highlight w:val="none"/>
        </w:rPr>
      </w:pPr>
      <w:bookmarkStart w:id="40" w:name="_Toc15377209"/>
      <w:bookmarkStart w:id="41" w:name="_Toc6906"/>
      <w:bookmarkStart w:id="42" w:name="_Toc15396607"/>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8"/>
          <w:rFonts w:hint="eastAsia" w:ascii="黑体" w:hAnsi="黑体" w:eastAsia="黑体"/>
          <w:b w:val="0"/>
          <w:color w:val="auto"/>
          <w:highlight w:val="none"/>
        </w:rPr>
        <w:t>般公共预算财政拨款支出决算情况说明</w:t>
      </w:r>
      <w:bookmarkEnd w:id="40"/>
      <w:bookmarkEnd w:id="41"/>
      <w:bookmarkEnd w:id="42"/>
    </w:p>
    <w:p>
      <w:pPr>
        <w:spacing w:line="600" w:lineRule="exact"/>
        <w:ind w:firstLine="643" w:firstLineChars="200"/>
        <w:outlineLvl w:val="2"/>
        <w:rPr>
          <w:rFonts w:ascii="仿宋" w:hAnsi="仿宋" w:eastAsia="仿宋"/>
          <w:b/>
          <w:color w:val="auto"/>
          <w:sz w:val="32"/>
          <w:szCs w:val="32"/>
          <w:highlight w:val="none"/>
        </w:rPr>
      </w:pPr>
      <w:bookmarkStart w:id="43" w:name="_Toc15377210"/>
      <w:r>
        <w:rPr>
          <w:rFonts w:hint="eastAsia" w:ascii="仿宋" w:hAnsi="仿宋" w:eastAsia="仿宋"/>
          <w:b/>
          <w:color w:val="auto"/>
          <w:sz w:val="32"/>
          <w:szCs w:val="32"/>
          <w:highlight w:val="none"/>
        </w:rPr>
        <w:t>（一）一般公共预算财政拨款支出决算总体情况</w:t>
      </w:r>
      <w:bookmarkEnd w:id="43"/>
    </w:p>
    <w:p>
      <w:pPr>
        <w:spacing w:line="600" w:lineRule="exact"/>
        <w:ind w:firstLine="640" w:firstLineChars="200"/>
        <w:rPr>
          <w:rFonts w:hint="default" w:ascii="仿宋" w:hAnsi="仿宋" w:eastAsia="仿宋"/>
          <w:color w:val="auto"/>
          <w:sz w:val="32"/>
          <w:szCs w:val="32"/>
          <w:highlight w:val="none"/>
          <w:lang w:val="en-US"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1587.41</w:t>
      </w:r>
      <w:r>
        <w:rPr>
          <w:rFonts w:hint="eastAsia" w:ascii="仿宋" w:hAnsi="仿宋" w:eastAsia="仿宋"/>
          <w:color w:val="auto"/>
          <w:sz w:val="32"/>
          <w:szCs w:val="32"/>
          <w:highlight w:val="none"/>
        </w:rPr>
        <w:t>万元，占本年支出合计的</w:t>
      </w:r>
      <w:r>
        <w:rPr>
          <w:rFonts w:hint="eastAsia" w:ascii="仿宋" w:hAnsi="仿宋" w:eastAsia="仿宋"/>
          <w:color w:val="auto"/>
          <w:sz w:val="32"/>
          <w:szCs w:val="32"/>
          <w:highlight w:val="none"/>
          <w:lang w:val="en-US" w:eastAsia="zh-CN"/>
        </w:rPr>
        <w:t>100.00</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rPr>
        <w:t>增加</w:t>
      </w:r>
      <w:r>
        <w:rPr>
          <w:rFonts w:hint="eastAsia" w:ascii="仿宋" w:hAnsi="仿宋" w:eastAsia="仿宋"/>
          <w:color w:val="auto"/>
          <w:sz w:val="32"/>
          <w:szCs w:val="32"/>
          <w:highlight w:val="none"/>
          <w:lang w:val="en-US" w:eastAsia="zh-CN"/>
        </w:rPr>
        <w:t>265.67</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20.10</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基本支出增加。</w:t>
      </w:r>
    </w:p>
    <w:p>
      <w:pPr>
        <w:spacing w:line="600" w:lineRule="exact"/>
        <w:ind w:firstLine="420" w:firstLineChars="200"/>
        <w:rPr>
          <w:rFonts w:ascii="仿宋" w:hAnsi="仿宋" w:eastAsia="仿宋"/>
          <w:color w:val="auto"/>
          <w:sz w:val="32"/>
          <w:szCs w:val="32"/>
          <w:highlight w:val="none"/>
        </w:rPr>
      </w:pPr>
      <w:r>
        <w:drawing>
          <wp:anchor distT="0" distB="0" distL="114300" distR="114300" simplePos="0" relativeHeight="251662336" behindDoc="0" locked="0" layoutInCell="1" allowOverlap="1">
            <wp:simplePos x="0" y="0"/>
            <wp:positionH relativeFrom="column">
              <wp:posOffset>271145</wp:posOffset>
            </wp:positionH>
            <wp:positionV relativeFrom="paragraph">
              <wp:posOffset>-2632075</wp:posOffset>
            </wp:positionV>
            <wp:extent cx="3979545" cy="2926080"/>
            <wp:effectExtent l="4445" t="4445" r="8890" b="10795"/>
            <wp:wrapTopAndBottom/>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（图5：一般公共预算财政拨款支出决算变动情况）（柱状图）</w:t>
      </w:r>
    </w:p>
    <w:p>
      <w:pPr>
        <w:spacing w:line="600" w:lineRule="exact"/>
        <w:ind w:firstLine="640" w:firstLineChars="200"/>
        <w:rPr>
          <w:rFonts w:ascii="仿宋" w:hAnsi="仿宋" w:eastAsia="仿宋"/>
          <w:color w:val="auto"/>
          <w:sz w:val="32"/>
          <w:szCs w:val="32"/>
          <w:highlight w:val="none"/>
        </w:rPr>
      </w:pPr>
    </w:p>
    <w:p>
      <w:pPr>
        <w:spacing w:line="600" w:lineRule="exact"/>
        <w:ind w:firstLine="643" w:firstLineChars="200"/>
        <w:outlineLvl w:val="2"/>
        <w:rPr>
          <w:rFonts w:ascii="仿宋" w:hAnsi="仿宋" w:eastAsia="仿宋"/>
          <w:b/>
          <w:color w:val="auto"/>
          <w:sz w:val="32"/>
          <w:szCs w:val="32"/>
          <w:highlight w:val="none"/>
        </w:rPr>
      </w:pPr>
      <w:bookmarkStart w:id="44" w:name="_Toc15377211"/>
      <w:r>
        <w:rPr>
          <w:rFonts w:hint="eastAsia" w:ascii="仿宋" w:hAnsi="仿宋" w:eastAsia="仿宋"/>
          <w:b/>
          <w:color w:val="auto"/>
          <w:sz w:val="32"/>
          <w:szCs w:val="32"/>
          <w:highlight w:val="none"/>
        </w:rPr>
        <w:t>（二）一般公共预算财政拨款支出决算结构情况</w:t>
      </w:r>
      <w:bookmarkEnd w:id="44"/>
    </w:p>
    <w:p>
      <w:pPr>
        <w:spacing w:line="600" w:lineRule="exact"/>
        <w:ind w:firstLine="640"/>
        <w:rPr>
          <w:rFonts w:hint="eastAsia" w:ascii="仿宋" w:hAnsi="仿宋" w:eastAsia="仿宋"/>
          <w:color w:val="auto"/>
          <w:sz w:val="32"/>
          <w:szCs w:val="32"/>
          <w:highlight w:val="none"/>
        </w:rPr>
      </w:pPr>
      <w:r>
        <w:drawing>
          <wp:anchor distT="0" distB="0" distL="114300" distR="114300" simplePos="0" relativeHeight="251663360" behindDoc="0" locked="0" layoutInCell="1" allowOverlap="1">
            <wp:simplePos x="0" y="0"/>
            <wp:positionH relativeFrom="column">
              <wp:posOffset>42545</wp:posOffset>
            </wp:positionH>
            <wp:positionV relativeFrom="paragraph">
              <wp:posOffset>2050415</wp:posOffset>
            </wp:positionV>
            <wp:extent cx="3664585" cy="2686685"/>
            <wp:effectExtent l="4445" t="4445" r="19050" b="6350"/>
            <wp:wrapTopAndBottom/>
            <wp:docPr id="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1,587.41</w:t>
      </w:r>
      <w:r>
        <w:rPr>
          <w:rFonts w:hint="eastAsia" w:ascii="仿宋" w:hAnsi="仿宋" w:eastAsia="仿宋"/>
          <w:color w:val="auto"/>
          <w:sz w:val="32"/>
          <w:szCs w:val="32"/>
          <w:highlight w:val="none"/>
        </w:rPr>
        <w:t>万元，主要用于以下方面</w:t>
      </w:r>
      <w:r>
        <w:rPr>
          <w:rFonts w:ascii="仿宋" w:hAnsi="仿宋" w:eastAsia="仿宋"/>
          <w:color w:val="auto"/>
          <w:sz w:val="32"/>
          <w:szCs w:val="32"/>
          <w:highlight w:val="none"/>
        </w:rPr>
        <w:t>:</w:t>
      </w:r>
      <w:r>
        <w:rPr>
          <w:rFonts w:hint="eastAsia" w:ascii="仿宋" w:hAnsi="仿宋" w:eastAsia="仿宋"/>
          <w:b/>
          <w:color w:val="auto"/>
          <w:sz w:val="32"/>
          <w:szCs w:val="32"/>
          <w:highlight w:val="none"/>
        </w:rPr>
        <w:t>一般公共服务</w:t>
      </w:r>
      <w:r>
        <w:rPr>
          <w:rFonts w:hint="eastAsia" w:ascii="仿宋" w:hAnsi="仿宋" w:eastAsia="仿宋"/>
          <w:b/>
          <w:bCs/>
          <w:color w:val="auto"/>
          <w:sz w:val="32"/>
          <w:szCs w:val="32"/>
          <w:highlight w:val="none"/>
        </w:rPr>
        <w:t>支出</w:t>
      </w:r>
      <w:r>
        <w:rPr>
          <w:rFonts w:hint="eastAsia" w:ascii="仿宋" w:hAnsi="仿宋" w:eastAsia="仿宋"/>
          <w:color w:val="auto"/>
          <w:sz w:val="32"/>
          <w:szCs w:val="32"/>
          <w:highlight w:val="none"/>
          <w:lang w:val="en-US" w:eastAsia="zh-CN"/>
        </w:rPr>
        <w:t>1,316.86</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82.96</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color w:val="auto"/>
          <w:sz w:val="32"/>
          <w:szCs w:val="32"/>
          <w:highlight w:val="none"/>
        </w:rPr>
        <w:t>社会保障和就业</w:t>
      </w:r>
      <w:r>
        <w:rPr>
          <w:rFonts w:hint="eastAsia" w:ascii="仿宋" w:hAnsi="仿宋" w:eastAsia="仿宋"/>
          <w:b/>
          <w:bCs/>
          <w:color w:val="auto"/>
          <w:sz w:val="32"/>
          <w:szCs w:val="32"/>
          <w:highlight w:val="none"/>
        </w:rPr>
        <w:t>支出</w:t>
      </w:r>
      <w:r>
        <w:rPr>
          <w:rFonts w:hint="eastAsia" w:ascii="仿宋" w:hAnsi="仿宋" w:eastAsia="仿宋"/>
          <w:color w:val="auto"/>
          <w:sz w:val="32"/>
          <w:szCs w:val="32"/>
          <w:highlight w:val="none"/>
          <w:lang w:val="en-US" w:eastAsia="zh-CN"/>
        </w:rPr>
        <w:t>80.06</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5.04</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卫生健康支出</w:t>
      </w:r>
      <w:r>
        <w:rPr>
          <w:rFonts w:hint="eastAsia" w:ascii="仿宋" w:hAnsi="仿宋" w:eastAsia="仿宋"/>
          <w:color w:val="auto"/>
          <w:sz w:val="32"/>
          <w:szCs w:val="32"/>
          <w:highlight w:val="none"/>
          <w:lang w:val="en-US" w:eastAsia="zh-CN"/>
        </w:rPr>
        <w:t>102.14</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6.43</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住房保障支出</w:t>
      </w:r>
      <w:r>
        <w:rPr>
          <w:rFonts w:hint="eastAsia" w:ascii="仿宋" w:hAnsi="仿宋" w:eastAsia="仿宋"/>
          <w:color w:val="auto"/>
          <w:sz w:val="32"/>
          <w:szCs w:val="32"/>
          <w:highlight w:val="none"/>
          <w:lang w:val="en-US" w:eastAsia="zh-CN"/>
        </w:rPr>
        <w:t>88.35</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5.57</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（图6：一般公共预算财政拨款支出决算结构）（饼状图）</w:t>
      </w:r>
    </w:p>
    <w:p>
      <w:pPr>
        <w:spacing w:line="600" w:lineRule="exact"/>
        <w:ind w:firstLine="640" w:firstLineChars="200"/>
        <w:rPr>
          <w:rFonts w:ascii="仿宋" w:hAnsi="仿宋" w:eastAsia="仿宋"/>
          <w:color w:val="auto"/>
          <w:sz w:val="32"/>
          <w:szCs w:val="32"/>
          <w:highlight w:val="none"/>
        </w:rPr>
      </w:pPr>
    </w:p>
    <w:p>
      <w:pPr>
        <w:spacing w:line="600" w:lineRule="exact"/>
        <w:ind w:firstLine="643" w:firstLineChars="200"/>
        <w:outlineLvl w:val="2"/>
        <w:rPr>
          <w:rFonts w:ascii="仿宋" w:hAnsi="仿宋" w:eastAsia="仿宋"/>
          <w:b/>
          <w:color w:val="auto"/>
          <w:sz w:val="32"/>
          <w:szCs w:val="32"/>
          <w:highlight w:val="none"/>
        </w:rPr>
      </w:pPr>
      <w:bookmarkStart w:id="45" w:name="_Toc15377212"/>
      <w:r>
        <w:rPr>
          <w:rFonts w:hint="eastAsia" w:ascii="仿宋" w:hAnsi="仿宋" w:eastAsia="仿宋"/>
          <w:b/>
          <w:color w:val="auto"/>
          <w:sz w:val="32"/>
          <w:szCs w:val="32"/>
          <w:highlight w:val="none"/>
        </w:rPr>
        <w:t>（三）一般公共预算财政拨款支出决算具体情况</w:t>
      </w:r>
      <w:bookmarkEnd w:id="45"/>
    </w:p>
    <w:p>
      <w:pPr>
        <w:spacing w:line="600" w:lineRule="exact"/>
        <w:ind w:firstLine="643" w:firstLineChars="200"/>
        <w:outlineLvl w:val="1"/>
        <w:rPr>
          <w:rFonts w:ascii="仿宋" w:hAnsi="仿宋" w:eastAsia="仿宋"/>
          <w:color w:val="auto"/>
          <w:sz w:val="32"/>
          <w:szCs w:val="32"/>
          <w:highlight w:val="none"/>
        </w:rPr>
      </w:pPr>
      <w:bookmarkStart w:id="46" w:name="_Toc15377213"/>
      <w:bookmarkStart w:id="47" w:name="_Toc31347"/>
      <w:bookmarkStart w:id="48" w:name="_Toc15377444"/>
      <w:bookmarkStart w:id="49" w:name="_Toc15378460"/>
      <w:r>
        <w:rPr>
          <w:rFonts w:hint="eastAsia" w:ascii="仿宋" w:hAnsi="仿宋" w:eastAsia="仿宋"/>
          <w:b/>
          <w:color w:val="auto"/>
          <w:sz w:val="32"/>
          <w:szCs w:val="32"/>
          <w:highlight w:val="none"/>
        </w:rPr>
        <w:t>20</w:t>
      </w:r>
      <w:r>
        <w:rPr>
          <w:rFonts w:hint="eastAsia" w:ascii="仿宋" w:hAnsi="仿宋" w:eastAsia="仿宋"/>
          <w:b/>
          <w:color w:val="auto"/>
          <w:sz w:val="32"/>
          <w:szCs w:val="32"/>
          <w:highlight w:val="none"/>
          <w:lang w:val="en-US" w:eastAsia="zh-CN"/>
        </w:rPr>
        <w:t>22</w:t>
      </w:r>
      <w:r>
        <w:rPr>
          <w:rFonts w:hint="eastAsia" w:ascii="仿宋" w:hAnsi="仿宋" w:eastAsia="仿宋"/>
          <w:b/>
          <w:color w:val="auto"/>
          <w:sz w:val="32"/>
          <w:szCs w:val="32"/>
          <w:highlight w:val="none"/>
        </w:rPr>
        <w:t>年</w:t>
      </w:r>
      <w:r>
        <w:rPr>
          <w:rFonts w:hint="eastAsia" w:ascii="仿宋" w:hAnsi="仿宋" w:eastAsia="仿宋"/>
          <w:b/>
          <w:color w:val="auto"/>
          <w:sz w:val="32"/>
          <w:szCs w:val="32"/>
          <w:highlight w:val="none"/>
          <w:lang w:eastAsia="zh-CN"/>
        </w:rPr>
        <w:t>一</w:t>
      </w:r>
      <w:r>
        <w:rPr>
          <w:rFonts w:hint="eastAsia" w:ascii="仿宋" w:hAnsi="仿宋" w:eastAsia="仿宋"/>
          <w:b/>
          <w:color w:val="auto"/>
          <w:sz w:val="32"/>
          <w:szCs w:val="32"/>
          <w:highlight w:val="none"/>
        </w:rPr>
        <w:t>般公共预算支出决算数为</w:t>
      </w:r>
      <w:r>
        <w:rPr>
          <w:rFonts w:hint="eastAsia" w:ascii="仿宋" w:hAnsi="仿宋" w:eastAsia="仿宋"/>
          <w:b/>
          <w:color w:val="auto"/>
          <w:sz w:val="32"/>
          <w:szCs w:val="32"/>
          <w:highlight w:val="none"/>
          <w:lang w:val="en-US" w:eastAsia="zh-CN"/>
        </w:rPr>
        <w:t>1587.41万元</w:t>
      </w:r>
      <w:r>
        <w:rPr>
          <w:rFonts w:hint="eastAsia" w:ascii="仿宋" w:hAnsi="仿宋" w:eastAsia="仿宋"/>
          <w:color w:val="auto"/>
          <w:sz w:val="32"/>
          <w:szCs w:val="32"/>
          <w:highlight w:val="none"/>
        </w:rPr>
        <w:t>，</w:t>
      </w:r>
      <w:r>
        <w:rPr>
          <w:rStyle w:val="16"/>
          <w:rFonts w:hint="eastAsia" w:ascii="仿宋" w:hAnsi="仿宋" w:eastAsia="仿宋"/>
          <w:bCs/>
          <w:color w:val="auto"/>
          <w:sz w:val="32"/>
          <w:szCs w:val="32"/>
          <w:highlight w:val="none"/>
        </w:rPr>
        <w:t>完成预算</w:t>
      </w:r>
      <w:r>
        <w:rPr>
          <w:rStyle w:val="16"/>
          <w:rFonts w:hint="eastAsia" w:ascii="仿宋" w:hAnsi="仿宋" w:eastAsia="仿宋"/>
          <w:bCs/>
          <w:color w:val="auto"/>
          <w:sz w:val="32"/>
          <w:szCs w:val="32"/>
          <w:highlight w:val="none"/>
          <w:lang w:val="en-US" w:eastAsia="zh-CN"/>
        </w:rPr>
        <w:t>99.97</w:t>
      </w:r>
      <w:r>
        <w:rPr>
          <w:rStyle w:val="16"/>
          <w:rFonts w:ascii="仿宋" w:hAnsi="仿宋" w:eastAsia="仿宋"/>
          <w:bCs/>
          <w:color w:val="auto"/>
          <w:sz w:val="32"/>
          <w:szCs w:val="32"/>
          <w:highlight w:val="none"/>
        </w:rPr>
        <w:t>%</w:t>
      </w:r>
      <w:r>
        <w:rPr>
          <w:rStyle w:val="16"/>
          <w:rFonts w:hint="eastAsia" w:ascii="仿宋" w:hAnsi="仿宋" w:eastAsia="仿宋"/>
          <w:bCs/>
          <w:color w:val="auto"/>
          <w:sz w:val="32"/>
          <w:szCs w:val="32"/>
          <w:highlight w:val="none"/>
        </w:rPr>
        <w:t>。其中：</w:t>
      </w:r>
      <w:bookmarkEnd w:id="46"/>
      <w:bookmarkEnd w:id="47"/>
      <w:bookmarkEnd w:id="48"/>
      <w:bookmarkEnd w:id="49"/>
    </w:p>
    <w:p>
      <w:pPr>
        <w:spacing w:line="600" w:lineRule="exact"/>
        <w:ind w:firstLine="643" w:firstLineChars="200"/>
        <w:rPr>
          <w:rFonts w:ascii="仿宋" w:hAnsi="仿宋" w:eastAsia="仿宋"/>
          <w:b/>
          <w:color w:val="auto"/>
          <w:sz w:val="32"/>
          <w:szCs w:val="32"/>
          <w:highlight w:val="none"/>
        </w:rPr>
      </w:pPr>
      <w:r>
        <w:rPr>
          <w:rStyle w:val="16"/>
          <w:rFonts w:ascii="仿宋" w:hAnsi="仿宋" w:eastAsia="仿宋"/>
          <w:bCs/>
          <w:color w:val="auto"/>
          <w:sz w:val="32"/>
          <w:szCs w:val="32"/>
          <w:highlight w:val="none"/>
        </w:rPr>
        <w:t>1.</w:t>
      </w:r>
      <w:r>
        <w:rPr>
          <w:rStyle w:val="16"/>
          <w:rFonts w:hint="eastAsia" w:ascii="仿宋" w:hAnsi="仿宋" w:eastAsia="仿宋"/>
          <w:bCs/>
          <w:color w:val="auto"/>
          <w:sz w:val="32"/>
          <w:szCs w:val="32"/>
          <w:highlight w:val="none"/>
        </w:rPr>
        <w:t>一般公共服务（类）政府办公厅（室）及相关机构事务（款）</w:t>
      </w:r>
      <w:r>
        <w:rPr>
          <w:rStyle w:val="16"/>
          <w:rFonts w:hint="eastAsia" w:ascii="仿宋" w:hAnsi="仿宋" w:eastAsia="仿宋"/>
          <w:bCs/>
          <w:color w:val="auto"/>
          <w:sz w:val="32"/>
          <w:szCs w:val="32"/>
          <w:highlight w:val="none"/>
          <w:lang w:val="en-US" w:eastAsia="zh-CN"/>
        </w:rPr>
        <w:t>事业运行</w:t>
      </w:r>
      <w:r>
        <w:rPr>
          <w:rStyle w:val="16"/>
          <w:rFonts w:hint="eastAsia" w:ascii="仿宋" w:hAnsi="仿宋" w:eastAsia="仿宋"/>
          <w:bCs/>
          <w:color w:val="auto"/>
          <w:sz w:val="32"/>
          <w:szCs w:val="32"/>
          <w:highlight w:val="none"/>
        </w:rPr>
        <w:t>（项）</w:t>
      </w:r>
      <w:r>
        <w:rPr>
          <w:rStyle w:val="16"/>
          <w:rFonts w:ascii="仿宋" w:hAnsi="仿宋" w:eastAsia="仿宋"/>
          <w:bCs/>
          <w:color w:val="auto"/>
          <w:sz w:val="32"/>
          <w:szCs w:val="32"/>
          <w:highlight w:val="none"/>
        </w:rPr>
        <w:t>:</w:t>
      </w:r>
      <w:r>
        <w:rPr>
          <w:rStyle w:val="16"/>
          <w:rFonts w:ascii="仿宋" w:hAnsi="仿宋" w:eastAsia="仿宋"/>
          <w:b w:val="0"/>
          <w:bCs/>
          <w:color w:val="auto"/>
          <w:sz w:val="32"/>
          <w:szCs w:val="32"/>
          <w:highlight w:val="none"/>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17.13</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，决算数</w:t>
      </w:r>
      <w:r>
        <w:rPr>
          <w:rStyle w:val="16"/>
          <w:rFonts w:hint="eastAsia" w:ascii="仿宋" w:hAnsi="仿宋" w:eastAsia="仿宋"/>
          <w:b w:val="0"/>
          <w:bCs/>
          <w:color w:val="auto"/>
          <w:sz w:val="32"/>
          <w:szCs w:val="32"/>
          <w:highlight w:val="none"/>
          <w:lang w:val="en-US" w:eastAsia="zh-CN"/>
        </w:rPr>
        <w:t>与</w:t>
      </w:r>
      <w:r>
        <w:rPr>
          <w:rStyle w:val="16"/>
          <w:rFonts w:hint="eastAsia" w:ascii="仿宋" w:hAnsi="仿宋" w:eastAsia="仿宋"/>
          <w:b w:val="0"/>
          <w:bCs/>
          <w:color w:val="auto"/>
          <w:sz w:val="32"/>
          <w:szCs w:val="32"/>
          <w:highlight w:val="none"/>
        </w:rPr>
        <w:t>预算数</w:t>
      </w:r>
      <w:r>
        <w:rPr>
          <w:rStyle w:val="16"/>
          <w:rFonts w:hint="eastAsia" w:ascii="仿宋" w:hAnsi="仿宋" w:eastAsia="仿宋"/>
          <w:b w:val="0"/>
          <w:bCs/>
          <w:color w:val="auto"/>
          <w:sz w:val="32"/>
          <w:szCs w:val="32"/>
          <w:highlight w:val="none"/>
          <w:lang w:val="en-US" w:eastAsia="zh-CN"/>
        </w:rPr>
        <w:t>持平</w:t>
      </w:r>
      <w:r>
        <w:rPr>
          <w:rStyle w:val="16"/>
          <w:rFonts w:hint="eastAsia" w:ascii="仿宋" w:hAnsi="仿宋" w:eastAsia="仿宋"/>
          <w:b w:val="0"/>
          <w:bCs/>
          <w:color w:val="auto"/>
          <w:sz w:val="32"/>
          <w:szCs w:val="32"/>
          <w:highlight w:val="none"/>
        </w:rPr>
        <w:t>。</w:t>
      </w:r>
    </w:p>
    <w:p>
      <w:pPr>
        <w:spacing w:line="600" w:lineRule="exact"/>
        <w:ind w:firstLine="643" w:firstLineChars="200"/>
        <w:rPr>
          <w:rFonts w:ascii="仿宋" w:hAnsi="仿宋" w:eastAsia="仿宋"/>
          <w:b/>
          <w:color w:val="auto"/>
          <w:sz w:val="32"/>
          <w:szCs w:val="32"/>
          <w:highlight w:val="none"/>
        </w:rPr>
      </w:pPr>
      <w:r>
        <w:rPr>
          <w:rStyle w:val="16"/>
          <w:rFonts w:ascii="仿宋" w:hAnsi="仿宋" w:eastAsia="仿宋"/>
          <w:bCs/>
          <w:color w:val="auto"/>
          <w:sz w:val="32"/>
          <w:szCs w:val="32"/>
          <w:highlight w:val="none"/>
        </w:rPr>
        <w:t>2.</w:t>
      </w:r>
      <w:r>
        <w:rPr>
          <w:rStyle w:val="16"/>
          <w:rFonts w:hint="eastAsia" w:ascii="仿宋" w:hAnsi="仿宋" w:eastAsia="仿宋"/>
          <w:bCs/>
          <w:color w:val="auto"/>
          <w:sz w:val="32"/>
          <w:szCs w:val="32"/>
          <w:highlight w:val="none"/>
        </w:rPr>
        <w:t>一般公共服务（类）市场监督管理事务（款）</w:t>
      </w:r>
      <w:r>
        <w:rPr>
          <w:rStyle w:val="16"/>
          <w:rFonts w:hint="eastAsia" w:ascii="仿宋" w:hAnsi="仿宋" w:eastAsia="仿宋"/>
          <w:bCs/>
          <w:color w:val="auto"/>
          <w:sz w:val="32"/>
          <w:szCs w:val="32"/>
          <w:highlight w:val="none"/>
          <w:lang w:val="en-US" w:eastAsia="zh-CN"/>
        </w:rPr>
        <w:t>市场主体管理</w:t>
      </w:r>
      <w:r>
        <w:rPr>
          <w:rStyle w:val="16"/>
          <w:rFonts w:hint="eastAsia" w:ascii="仿宋" w:hAnsi="仿宋" w:eastAsia="仿宋"/>
          <w:bCs/>
          <w:color w:val="auto"/>
          <w:sz w:val="32"/>
          <w:szCs w:val="32"/>
          <w:highlight w:val="none"/>
        </w:rPr>
        <w:t>（项）</w:t>
      </w:r>
      <w:r>
        <w:rPr>
          <w:rStyle w:val="16"/>
          <w:rFonts w:ascii="仿宋" w:hAnsi="仿宋" w:eastAsia="仿宋"/>
          <w:bCs/>
          <w:color w:val="auto"/>
          <w:sz w:val="32"/>
          <w:szCs w:val="32"/>
          <w:highlight w:val="none"/>
        </w:rPr>
        <w:t>:</w:t>
      </w:r>
      <w:r>
        <w:rPr>
          <w:rStyle w:val="16"/>
          <w:rFonts w:ascii="仿宋" w:hAnsi="仿宋" w:eastAsia="仿宋"/>
          <w:b w:val="0"/>
          <w:bCs/>
          <w:color w:val="auto"/>
          <w:sz w:val="32"/>
          <w:szCs w:val="32"/>
          <w:highlight w:val="none"/>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10.00</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，决算数</w:t>
      </w:r>
      <w:r>
        <w:rPr>
          <w:rStyle w:val="16"/>
          <w:rFonts w:hint="eastAsia" w:ascii="仿宋" w:hAnsi="仿宋" w:eastAsia="仿宋"/>
          <w:b w:val="0"/>
          <w:bCs/>
          <w:color w:val="auto"/>
          <w:sz w:val="32"/>
          <w:szCs w:val="32"/>
          <w:highlight w:val="none"/>
          <w:lang w:val="en-US" w:eastAsia="zh-CN"/>
        </w:rPr>
        <w:t>与</w:t>
      </w:r>
      <w:r>
        <w:rPr>
          <w:rStyle w:val="16"/>
          <w:rFonts w:hint="eastAsia" w:ascii="仿宋" w:hAnsi="仿宋" w:eastAsia="仿宋"/>
          <w:b w:val="0"/>
          <w:bCs/>
          <w:color w:val="auto"/>
          <w:sz w:val="32"/>
          <w:szCs w:val="32"/>
          <w:highlight w:val="none"/>
        </w:rPr>
        <w:t>预算数</w:t>
      </w:r>
      <w:r>
        <w:rPr>
          <w:rStyle w:val="16"/>
          <w:rFonts w:hint="eastAsia" w:ascii="仿宋" w:hAnsi="仿宋" w:eastAsia="仿宋"/>
          <w:b w:val="0"/>
          <w:bCs/>
          <w:color w:val="auto"/>
          <w:sz w:val="32"/>
          <w:szCs w:val="32"/>
          <w:highlight w:val="none"/>
          <w:lang w:val="en-US" w:eastAsia="zh-CN"/>
        </w:rPr>
        <w:t>持平</w:t>
      </w:r>
      <w:r>
        <w:rPr>
          <w:rStyle w:val="16"/>
          <w:rFonts w:hint="eastAsia" w:ascii="仿宋" w:hAnsi="仿宋" w:eastAsia="仿宋"/>
          <w:b w:val="0"/>
          <w:bCs/>
          <w:color w:val="auto"/>
          <w:sz w:val="32"/>
          <w:szCs w:val="32"/>
          <w:highlight w:val="none"/>
        </w:rPr>
        <w:t>。</w:t>
      </w:r>
    </w:p>
    <w:p>
      <w:pPr>
        <w:spacing w:line="600" w:lineRule="exact"/>
        <w:ind w:firstLine="643" w:firstLineChars="200"/>
        <w:rPr>
          <w:rFonts w:ascii="仿宋" w:hAnsi="仿宋" w:eastAsia="仿宋"/>
          <w:b/>
          <w:color w:val="auto"/>
          <w:sz w:val="32"/>
          <w:szCs w:val="32"/>
          <w:highlight w:val="none"/>
        </w:rPr>
      </w:pPr>
      <w:r>
        <w:rPr>
          <w:rStyle w:val="16"/>
          <w:rFonts w:ascii="仿宋" w:hAnsi="仿宋" w:eastAsia="仿宋"/>
          <w:bCs/>
          <w:color w:val="auto"/>
          <w:sz w:val="32"/>
          <w:szCs w:val="32"/>
          <w:highlight w:val="none"/>
        </w:rPr>
        <w:t>3.</w:t>
      </w:r>
      <w:r>
        <w:rPr>
          <w:rStyle w:val="16"/>
          <w:rFonts w:hint="eastAsia" w:ascii="仿宋" w:hAnsi="仿宋" w:eastAsia="仿宋"/>
          <w:bCs/>
          <w:color w:val="auto"/>
          <w:sz w:val="32"/>
          <w:szCs w:val="32"/>
          <w:highlight w:val="none"/>
        </w:rPr>
        <w:t>一般公共服务（类）市场监督管理事务（款）</w:t>
      </w:r>
      <w:r>
        <w:rPr>
          <w:rStyle w:val="16"/>
          <w:rFonts w:hint="eastAsia" w:ascii="仿宋" w:hAnsi="仿宋" w:eastAsia="仿宋"/>
          <w:bCs/>
          <w:color w:val="auto"/>
          <w:sz w:val="32"/>
          <w:szCs w:val="32"/>
          <w:highlight w:val="none"/>
          <w:lang w:val="en-US" w:eastAsia="zh-CN"/>
        </w:rPr>
        <w:t>药品事务</w:t>
      </w:r>
      <w:r>
        <w:rPr>
          <w:rStyle w:val="16"/>
          <w:rFonts w:hint="eastAsia" w:ascii="仿宋" w:hAnsi="仿宋" w:eastAsia="仿宋"/>
          <w:bCs/>
          <w:color w:val="auto"/>
          <w:sz w:val="32"/>
          <w:szCs w:val="32"/>
          <w:highlight w:val="none"/>
        </w:rPr>
        <w:t>（项）</w:t>
      </w:r>
      <w:r>
        <w:rPr>
          <w:rStyle w:val="16"/>
          <w:rFonts w:ascii="仿宋" w:hAnsi="仿宋" w:eastAsia="仿宋"/>
          <w:bCs/>
          <w:color w:val="auto"/>
          <w:sz w:val="32"/>
          <w:szCs w:val="32"/>
          <w:highlight w:val="none"/>
        </w:rPr>
        <w:t>:</w:t>
      </w:r>
      <w:r>
        <w:rPr>
          <w:rStyle w:val="16"/>
          <w:rFonts w:ascii="仿宋" w:hAnsi="仿宋" w:eastAsia="仿宋"/>
          <w:b w:val="0"/>
          <w:bCs/>
          <w:color w:val="auto"/>
          <w:sz w:val="32"/>
          <w:szCs w:val="32"/>
          <w:highlight w:val="none"/>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203.25</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99.80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，决算数</w:t>
      </w:r>
      <w:r>
        <w:rPr>
          <w:rStyle w:val="16"/>
          <w:rFonts w:hint="eastAsia" w:ascii="仿宋" w:hAnsi="仿宋" w:eastAsia="仿宋"/>
          <w:b w:val="0"/>
          <w:bCs/>
          <w:color w:val="auto"/>
          <w:sz w:val="32"/>
          <w:szCs w:val="32"/>
          <w:highlight w:val="none"/>
          <w:lang w:val="en-US" w:eastAsia="zh-CN"/>
        </w:rPr>
        <w:t>小于</w:t>
      </w:r>
      <w:r>
        <w:rPr>
          <w:rStyle w:val="16"/>
          <w:rFonts w:hint="eastAsia" w:ascii="仿宋" w:hAnsi="仿宋" w:eastAsia="仿宋"/>
          <w:b w:val="0"/>
          <w:bCs/>
          <w:color w:val="auto"/>
          <w:sz w:val="32"/>
          <w:szCs w:val="32"/>
          <w:highlight w:val="none"/>
        </w:rPr>
        <w:t>预算数</w:t>
      </w:r>
      <w:r>
        <w:rPr>
          <w:rStyle w:val="16"/>
          <w:rFonts w:hint="eastAsia" w:ascii="仿宋" w:hAnsi="仿宋" w:eastAsia="仿宋"/>
          <w:b w:val="0"/>
          <w:bCs/>
          <w:color w:val="auto"/>
          <w:sz w:val="32"/>
          <w:szCs w:val="32"/>
          <w:highlight w:val="none"/>
          <w:lang w:val="en-US" w:eastAsia="zh-CN"/>
        </w:rPr>
        <w:t>的原因是省级药品监管专项经费未实施完毕</w:t>
      </w:r>
      <w:r>
        <w:rPr>
          <w:rStyle w:val="16"/>
          <w:rFonts w:hint="eastAsia" w:ascii="仿宋" w:hAnsi="仿宋" w:eastAsia="仿宋"/>
          <w:b w:val="0"/>
          <w:bCs/>
          <w:color w:val="auto"/>
          <w:sz w:val="32"/>
          <w:szCs w:val="32"/>
          <w:highlight w:val="none"/>
        </w:rPr>
        <w:t>。</w:t>
      </w:r>
    </w:p>
    <w:p>
      <w:pPr>
        <w:spacing w:line="600" w:lineRule="exact"/>
        <w:ind w:firstLine="643" w:firstLineChars="200"/>
        <w:rPr>
          <w:rFonts w:ascii="仿宋" w:hAnsi="仿宋" w:eastAsia="仿宋"/>
          <w:b/>
          <w:color w:val="auto"/>
          <w:sz w:val="32"/>
          <w:szCs w:val="32"/>
          <w:highlight w:val="none"/>
        </w:rPr>
      </w:pPr>
      <w:r>
        <w:rPr>
          <w:rStyle w:val="16"/>
          <w:rFonts w:ascii="仿宋" w:hAnsi="仿宋" w:eastAsia="仿宋"/>
          <w:bCs/>
          <w:color w:val="auto"/>
          <w:sz w:val="32"/>
          <w:szCs w:val="32"/>
          <w:highlight w:val="none"/>
        </w:rPr>
        <w:t>4.</w:t>
      </w:r>
      <w:r>
        <w:rPr>
          <w:rStyle w:val="16"/>
          <w:rFonts w:hint="eastAsia" w:ascii="仿宋" w:hAnsi="仿宋" w:eastAsia="仿宋"/>
          <w:bCs/>
          <w:color w:val="auto"/>
          <w:sz w:val="32"/>
          <w:szCs w:val="32"/>
          <w:highlight w:val="none"/>
        </w:rPr>
        <w:t>一般公共服务（类）市场监督管理事务（款）</w:t>
      </w:r>
      <w:r>
        <w:rPr>
          <w:rStyle w:val="16"/>
          <w:rFonts w:hint="eastAsia" w:ascii="仿宋" w:hAnsi="仿宋" w:eastAsia="仿宋"/>
          <w:bCs/>
          <w:color w:val="auto"/>
          <w:sz w:val="32"/>
          <w:szCs w:val="32"/>
          <w:highlight w:val="none"/>
          <w:lang w:val="en-US" w:eastAsia="zh-CN"/>
        </w:rPr>
        <w:t>事业运行</w:t>
      </w:r>
      <w:r>
        <w:rPr>
          <w:rStyle w:val="16"/>
          <w:rFonts w:hint="eastAsia" w:ascii="仿宋" w:hAnsi="仿宋" w:eastAsia="仿宋"/>
          <w:bCs/>
          <w:color w:val="auto"/>
          <w:sz w:val="32"/>
          <w:szCs w:val="32"/>
          <w:highlight w:val="none"/>
        </w:rPr>
        <w:t>（项）</w:t>
      </w:r>
      <w:r>
        <w:rPr>
          <w:rStyle w:val="16"/>
          <w:rFonts w:ascii="仿宋" w:hAnsi="仿宋" w:eastAsia="仿宋"/>
          <w:bCs/>
          <w:color w:val="auto"/>
          <w:sz w:val="32"/>
          <w:szCs w:val="32"/>
          <w:highlight w:val="none"/>
        </w:rPr>
        <w:t>:</w:t>
      </w:r>
      <w:r>
        <w:rPr>
          <w:rStyle w:val="16"/>
          <w:rFonts w:ascii="仿宋" w:hAnsi="仿宋" w:eastAsia="仿宋"/>
          <w:b w:val="0"/>
          <w:bCs/>
          <w:color w:val="auto"/>
          <w:sz w:val="32"/>
          <w:szCs w:val="32"/>
          <w:highlight w:val="none"/>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943.42</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，决算数</w:t>
      </w:r>
      <w:r>
        <w:rPr>
          <w:rStyle w:val="16"/>
          <w:rFonts w:hint="eastAsia" w:ascii="仿宋" w:hAnsi="仿宋" w:eastAsia="仿宋"/>
          <w:b w:val="0"/>
          <w:bCs/>
          <w:color w:val="auto"/>
          <w:sz w:val="32"/>
          <w:szCs w:val="32"/>
          <w:highlight w:val="none"/>
          <w:lang w:val="en-US" w:eastAsia="zh-CN"/>
        </w:rPr>
        <w:t>与</w:t>
      </w:r>
      <w:r>
        <w:rPr>
          <w:rStyle w:val="16"/>
          <w:rFonts w:hint="eastAsia" w:ascii="仿宋" w:hAnsi="仿宋" w:eastAsia="仿宋"/>
          <w:b w:val="0"/>
          <w:bCs/>
          <w:color w:val="auto"/>
          <w:sz w:val="32"/>
          <w:szCs w:val="32"/>
          <w:highlight w:val="none"/>
        </w:rPr>
        <w:t>预算数</w:t>
      </w:r>
      <w:r>
        <w:rPr>
          <w:rStyle w:val="16"/>
          <w:rFonts w:hint="eastAsia" w:ascii="仿宋" w:hAnsi="仿宋" w:eastAsia="仿宋"/>
          <w:b w:val="0"/>
          <w:bCs/>
          <w:color w:val="auto"/>
          <w:sz w:val="32"/>
          <w:szCs w:val="32"/>
          <w:highlight w:val="none"/>
          <w:lang w:val="en-US" w:eastAsia="zh-CN"/>
        </w:rPr>
        <w:t>持平</w:t>
      </w:r>
      <w:r>
        <w:rPr>
          <w:rStyle w:val="16"/>
          <w:rFonts w:hint="eastAsia" w:ascii="仿宋" w:hAnsi="仿宋" w:eastAsia="仿宋"/>
          <w:b w:val="0"/>
          <w:bCs/>
          <w:color w:val="auto"/>
          <w:sz w:val="32"/>
          <w:szCs w:val="32"/>
          <w:highlight w:val="none"/>
        </w:rPr>
        <w:t>。</w:t>
      </w:r>
    </w:p>
    <w:p>
      <w:pPr>
        <w:spacing w:line="600" w:lineRule="exact"/>
        <w:ind w:firstLine="643" w:firstLineChars="200"/>
        <w:rPr>
          <w:rFonts w:ascii="仿宋" w:hAnsi="仿宋" w:eastAsia="仿宋"/>
          <w:b/>
          <w:color w:val="auto"/>
          <w:sz w:val="32"/>
          <w:szCs w:val="32"/>
          <w:highlight w:val="none"/>
        </w:rPr>
      </w:pPr>
      <w:r>
        <w:rPr>
          <w:rStyle w:val="16"/>
          <w:rFonts w:ascii="仿宋" w:hAnsi="仿宋" w:eastAsia="仿宋"/>
          <w:bCs/>
          <w:color w:val="auto"/>
          <w:sz w:val="32"/>
          <w:szCs w:val="32"/>
          <w:highlight w:val="none"/>
        </w:rPr>
        <w:t>5.</w:t>
      </w:r>
      <w:r>
        <w:rPr>
          <w:rStyle w:val="16"/>
          <w:rFonts w:hint="eastAsia" w:ascii="仿宋" w:hAnsi="仿宋" w:eastAsia="仿宋"/>
          <w:bCs/>
          <w:color w:val="auto"/>
          <w:sz w:val="32"/>
          <w:szCs w:val="32"/>
          <w:highlight w:val="none"/>
        </w:rPr>
        <w:t>一般公共服务（类）市场监督管理事务（款）</w:t>
      </w:r>
      <w:r>
        <w:rPr>
          <w:rStyle w:val="16"/>
          <w:rFonts w:hint="eastAsia" w:ascii="仿宋" w:hAnsi="仿宋" w:eastAsia="仿宋"/>
          <w:bCs/>
          <w:color w:val="auto"/>
          <w:sz w:val="32"/>
          <w:szCs w:val="32"/>
          <w:highlight w:val="none"/>
          <w:lang w:val="en-US" w:eastAsia="zh-CN"/>
        </w:rPr>
        <w:t>其他</w:t>
      </w:r>
      <w:r>
        <w:rPr>
          <w:rStyle w:val="16"/>
          <w:rFonts w:hint="eastAsia" w:ascii="仿宋" w:hAnsi="仿宋" w:eastAsia="仿宋"/>
          <w:bCs/>
          <w:color w:val="auto"/>
          <w:sz w:val="32"/>
          <w:szCs w:val="32"/>
          <w:highlight w:val="none"/>
        </w:rPr>
        <w:t>市场监督管理事务（项）</w:t>
      </w:r>
      <w:r>
        <w:rPr>
          <w:rStyle w:val="16"/>
          <w:rFonts w:ascii="仿宋" w:hAnsi="仿宋" w:eastAsia="仿宋"/>
          <w:bCs/>
          <w:color w:val="auto"/>
          <w:sz w:val="32"/>
          <w:szCs w:val="32"/>
          <w:highlight w:val="none"/>
        </w:rPr>
        <w:t>:</w:t>
      </w:r>
      <w:r>
        <w:rPr>
          <w:rStyle w:val="16"/>
          <w:rFonts w:ascii="仿宋" w:hAnsi="仿宋" w:eastAsia="仿宋"/>
          <w:b w:val="0"/>
          <w:bCs/>
          <w:color w:val="auto"/>
          <w:sz w:val="32"/>
          <w:szCs w:val="32"/>
          <w:highlight w:val="none"/>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143.06</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，决算数</w:t>
      </w:r>
      <w:r>
        <w:rPr>
          <w:rStyle w:val="16"/>
          <w:rFonts w:hint="eastAsia" w:ascii="仿宋" w:hAnsi="仿宋" w:eastAsia="仿宋"/>
          <w:b w:val="0"/>
          <w:bCs/>
          <w:color w:val="auto"/>
          <w:sz w:val="32"/>
          <w:szCs w:val="32"/>
          <w:highlight w:val="none"/>
          <w:lang w:val="en-US" w:eastAsia="zh-CN"/>
        </w:rPr>
        <w:t>与</w:t>
      </w:r>
      <w:r>
        <w:rPr>
          <w:rStyle w:val="16"/>
          <w:rFonts w:hint="eastAsia" w:ascii="仿宋" w:hAnsi="仿宋" w:eastAsia="仿宋"/>
          <w:b w:val="0"/>
          <w:bCs/>
          <w:color w:val="auto"/>
          <w:sz w:val="32"/>
          <w:szCs w:val="32"/>
          <w:highlight w:val="none"/>
        </w:rPr>
        <w:t>预算数</w:t>
      </w:r>
      <w:r>
        <w:rPr>
          <w:rStyle w:val="16"/>
          <w:rFonts w:hint="eastAsia" w:ascii="仿宋" w:hAnsi="仿宋" w:eastAsia="仿宋"/>
          <w:b w:val="0"/>
          <w:bCs/>
          <w:color w:val="auto"/>
          <w:sz w:val="32"/>
          <w:szCs w:val="32"/>
          <w:highlight w:val="none"/>
          <w:lang w:val="en-US" w:eastAsia="zh-CN"/>
        </w:rPr>
        <w:t>持平</w:t>
      </w:r>
      <w:r>
        <w:rPr>
          <w:rStyle w:val="16"/>
          <w:rFonts w:hint="eastAsia" w:ascii="仿宋" w:hAnsi="仿宋" w:eastAsia="仿宋"/>
          <w:b w:val="0"/>
          <w:bCs/>
          <w:color w:val="auto"/>
          <w:sz w:val="32"/>
          <w:szCs w:val="32"/>
          <w:highlight w:val="none"/>
        </w:rPr>
        <w:t>。</w:t>
      </w:r>
    </w:p>
    <w:p>
      <w:pPr>
        <w:spacing w:line="600" w:lineRule="exact"/>
        <w:ind w:firstLine="643" w:firstLineChars="200"/>
        <w:rPr>
          <w:rStyle w:val="16"/>
          <w:rFonts w:hint="eastAsia" w:ascii="仿宋" w:hAnsi="仿宋" w:eastAsia="仿宋"/>
          <w:b w:val="0"/>
          <w:bCs/>
          <w:color w:val="auto"/>
          <w:sz w:val="32"/>
          <w:szCs w:val="32"/>
          <w:highlight w:val="none"/>
        </w:rPr>
      </w:pPr>
      <w:r>
        <w:rPr>
          <w:rStyle w:val="16"/>
          <w:rFonts w:ascii="仿宋" w:hAnsi="仿宋" w:eastAsia="仿宋"/>
          <w:bCs/>
          <w:color w:val="auto"/>
          <w:sz w:val="32"/>
          <w:szCs w:val="32"/>
          <w:highlight w:val="none"/>
        </w:rPr>
        <w:t>6.</w:t>
      </w:r>
      <w:r>
        <w:rPr>
          <w:rStyle w:val="16"/>
          <w:rFonts w:hint="eastAsia" w:ascii="仿宋" w:hAnsi="仿宋" w:eastAsia="仿宋"/>
          <w:bCs/>
          <w:color w:val="auto"/>
          <w:sz w:val="32"/>
          <w:szCs w:val="32"/>
          <w:highlight w:val="none"/>
        </w:rPr>
        <w:t>社会保障和就业（类）人力资源和社会保障管理事务（款）</w:t>
      </w:r>
      <w:r>
        <w:rPr>
          <w:rStyle w:val="16"/>
          <w:rFonts w:hint="eastAsia" w:ascii="仿宋" w:hAnsi="仿宋" w:eastAsia="仿宋"/>
          <w:bCs/>
          <w:color w:val="auto"/>
          <w:sz w:val="32"/>
          <w:szCs w:val="32"/>
          <w:highlight w:val="none"/>
          <w:lang w:val="en-US" w:eastAsia="zh-CN"/>
        </w:rPr>
        <w:t>引进人才费用</w:t>
      </w:r>
      <w:r>
        <w:rPr>
          <w:rStyle w:val="16"/>
          <w:rFonts w:hint="eastAsia" w:ascii="仿宋" w:hAnsi="仿宋" w:eastAsia="仿宋"/>
          <w:bCs/>
          <w:color w:val="auto"/>
          <w:sz w:val="32"/>
          <w:szCs w:val="32"/>
          <w:highlight w:val="none"/>
        </w:rPr>
        <w:t>（项）</w:t>
      </w:r>
      <w:r>
        <w:rPr>
          <w:rStyle w:val="16"/>
          <w:rFonts w:ascii="仿宋" w:hAnsi="仿宋" w:eastAsia="仿宋"/>
          <w:bCs/>
          <w:color w:val="auto"/>
          <w:sz w:val="32"/>
          <w:szCs w:val="32"/>
          <w:highlight w:val="none"/>
        </w:rPr>
        <w:t>:</w:t>
      </w:r>
      <w:r>
        <w:rPr>
          <w:rStyle w:val="16"/>
          <w:rFonts w:ascii="仿宋" w:hAnsi="仿宋" w:eastAsia="仿宋"/>
          <w:b w:val="0"/>
          <w:bCs/>
          <w:color w:val="auto"/>
          <w:sz w:val="32"/>
          <w:szCs w:val="32"/>
          <w:highlight w:val="none"/>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8.60</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，决算数</w:t>
      </w:r>
      <w:r>
        <w:rPr>
          <w:rStyle w:val="16"/>
          <w:rFonts w:hint="eastAsia" w:ascii="仿宋" w:hAnsi="仿宋" w:eastAsia="仿宋"/>
          <w:b w:val="0"/>
          <w:bCs/>
          <w:color w:val="auto"/>
          <w:sz w:val="32"/>
          <w:szCs w:val="32"/>
          <w:highlight w:val="none"/>
          <w:lang w:val="en-US" w:eastAsia="zh-CN"/>
        </w:rPr>
        <w:t>与</w:t>
      </w:r>
      <w:r>
        <w:rPr>
          <w:rStyle w:val="16"/>
          <w:rFonts w:hint="eastAsia" w:ascii="仿宋" w:hAnsi="仿宋" w:eastAsia="仿宋"/>
          <w:b w:val="0"/>
          <w:bCs/>
          <w:color w:val="auto"/>
          <w:sz w:val="32"/>
          <w:szCs w:val="32"/>
          <w:highlight w:val="none"/>
        </w:rPr>
        <w:t>预算数</w:t>
      </w:r>
      <w:r>
        <w:rPr>
          <w:rStyle w:val="16"/>
          <w:rFonts w:hint="eastAsia" w:ascii="仿宋" w:hAnsi="仿宋" w:eastAsia="仿宋"/>
          <w:b w:val="0"/>
          <w:bCs/>
          <w:color w:val="auto"/>
          <w:sz w:val="32"/>
          <w:szCs w:val="32"/>
          <w:highlight w:val="none"/>
          <w:lang w:val="en-US" w:eastAsia="zh-CN"/>
        </w:rPr>
        <w:t>持平</w:t>
      </w:r>
      <w:r>
        <w:rPr>
          <w:rStyle w:val="16"/>
          <w:rFonts w:hint="eastAsia" w:ascii="仿宋" w:hAnsi="仿宋" w:eastAsia="仿宋"/>
          <w:b w:val="0"/>
          <w:bCs/>
          <w:color w:val="auto"/>
          <w:sz w:val="32"/>
          <w:szCs w:val="32"/>
          <w:highlight w:val="none"/>
        </w:rPr>
        <w:t>。</w:t>
      </w:r>
    </w:p>
    <w:p>
      <w:pPr>
        <w:spacing w:line="600" w:lineRule="exact"/>
        <w:ind w:firstLine="643" w:firstLineChars="200"/>
        <w:rPr>
          <w:rFonts w:ascii="仿宋" w:hAnsi="仿宋" w:eastAsia="仿宋"/>
          <w:b/>
          <w:color w:val="auto"/>
          <w:sz w:val="32"/>
          <w:szCs w:val="32"/>
          <w:highlight w:val="none"/>
        </w:rPr>
      </w:pPr>
      <w:r>
        <w:rPr>
          <w:rStyle w:val="16"/>
          <w:rFonts w:hint="eastAsia" w:ascii="仿宋" w:hAnsi="仿宋" w:eastAsia="仿宋"/>
          <w:bCs/>
          <w:color w:val="auto"/>
          <w:sz w:val="32"/>
          <w:szCs w:val="32"/>
          <w:highlight w:val="none"/>
          <w:lang w:val="en-US" w:eastAsia="zh-CN"/>
        </w:rPr>
        <w:t>7</w:t>
      </w:r>
      <w:r>
        <w:rPr>
          <w:rStyle w:val="16"/>
          <w:rFonts w:ascii="仿宋" w:hAnsi="仿宋" w:eastAsia="仿宋"/>
          <w:bCs/>
          <w:color w:val="auto"/>
          <w:sz w:val="32"/>
          <w:szCs w:val="32"/>
          <w:highlight w:val="none"/>
        </w:rPr>
        <w:t>.</w:t>
      </w:r>
      <w:r>
        <w:rPr>
          <w:rStyle w:val="16"/>
          <w:rFonts w:hint="eastAsia" w:ascii="仿宋" w:hAnsi="仿宋" w:eastAsia="仿宋"/>
          <w:bCs/>
          <w:color w:val="auto"/>
          <w:sz w:val="32"/>
          <w:szCs w:val="32"/>
          <w:highlight w:val="none"/>
        </w:rPr>
        <w:t>社会保障和就业（类）行政事业单位养老支出（款）</w:t>
      </w:r>
      <w:r>
        <w:rPr>
          <w:rStyle w:val="16"/>
          <w:rFonts w:hint="eastAsia" w:ascii="仿宋" w:hAnsi="仿宋" w:eastAsia="仿宋"/>
          <w:bCs/>
          <w:color w:val="auto"/>
          <w:sz w:val="32"/>
          <w:szCs w:val="32"/>
          <w:highlight w:val="none"/>
          <w:lang w:val="en-US" w:eastAsia="zh-CN"/>
        </w:rPr>
        <w:t xml:space="preserve">  机关事业单位基本养老保险缴费支出</w:t>
      </w:r>
      <w:r>
        <w:rPr>
          <w:rStyle w:val="16"/>
          <w:rFonts w:hint="eastAsia" w:ascii="仿宋" w:hAnsi="仿宋" w:eastAsia="仿宋"/>
          <w:bCs/>
          <w:color w:val="auto"/>
          <w:sz w:val="32"/>
          <w:szCs w:val="32"/>
          <w:highlight w:val="none"/>
        </w:rPr>
        <w:t>（项）</w:t>
      </w:r>
      <w:r>
        <w:rPr>
          <w:rStyle w:val="16"/>
          <w:rFonts w:ascii="仿宋" w:hAnsi="仿宋" w:eastAsia="仿宋"/>
          <w:bCs/>
          <w:color w:val="auto"/>
          <w:sz w:val="32"/>
          <w:szCs w:val="32"/>
          <w:highlight w:val="none"/>
        </w:rPr>
        <w:t>:</w:t>
      </w:r>
      <w:r>
        <w:rPr>
          <w:rStyle w:val="16"/>
          <w:rFonts w:ascii="仿宋" w:hAnsi="仿宋" w:eastAsia="仿宋"/>
          <w:b w:val="0"/>
          <w:bCs/>
          <w:color w:val="auto"/>
          <w:sz w:val="32"/>
          <w:szCs w:val="32"/>
          <w:highlight w:val="none"/>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70.47</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，决算数</w:t>
      </w:r>
      <w:r>
        <w:rPr>
          <w:rStyle w:val="16"/>
          <w:rFonts w:hint="eastAsia" w:ascii="仿宋" w:hAnsi="仿宋" w:eastAsia="仿宋"/>
          <w:b w:val="0"/>
          <w:bCs/>
          <w:color w:val="auto"/>
          <w:sz w:val="32"/>
          <w:szCs w:val="32"/>
          <w:highlight w:val="none"/>
          <w:lang w:val="en-US" w:eastAsia="zh-CN"/>
        </w:rPr>
        <w:t>与</w:t>
      </w:r>
      <w:r>
        <w:rPr>
          <w:rStyle w:val="16"/>
          <w:rFonts w:hint="eastAsia" w:ascii="仿宋" w:hAnsi="仿宋" w:eastAsia="仿宋"/>
          <w:b w:val="0"/>
          <w:bCs/>
          <w:color w:val="auto"/>
          <w:sz w:val="32"/>
          <w:szCs w:val="32"/>
          <w:highlight w:val="none"/>
        </w:rPr>
        <w:t>预算数</w:t>
      </w:r>
      <w:r>
        <w:rPr>
          <w:rStyle w:val="16"/>
          <w:rFonts w:hint="eastAsia" w:ascii="仿宋" w:hAnsi="仿宋" w:eastAsia="仿宋"/>
          <w:b w:val="0"/>
          <w:bCs/>
          <w:color w:val="auto"/>
          <w:sz w:val="32"/>
          <w:szCs w:val="32"/>
          <w:highlight w:val="none"/>
          <w:lang w:val="en-US" w:eastAsia="zh-CN"/>
        </w:rPr>
        <w:t>持平</w:t>
      </w:r>
      <w:r>
        <w:rPr>
          <w:rStyle w:val="16"/>
          <w:rFonts w:hint="eastAsia" w:ascii="仿宋" w:hAnsi="仿宋" w:eastAsia="仿宋"/>
          <w:b w:val="0"/>
          <w:bCs/>
          <w:color w:val="auto"/>
          <w:sz w:val="32"/>
          <w:szCs w:val="32"/>
          <w:highlight w:val="none"/>
        </w:rPr>
        <w:t>。</w:t>
      </w:r>
    </w:p>
    <w:p>
      <w:pPr>
        <w:spacing w:line="600" w:lineRule="exact"/>
        <w:ind w:firstLine="643" w:firstLineChars="200"/>
        <w:rPr>
          <w:rFonts w:ascii="仿宋" w:hAnsi="仿宋" w:eastAsia="仿宋"/>
          <w:b/>
          <w:color w:val="auto"/>
          <w:sz w:val="32"/>
          <w:szCs w:val="32"/>
          <w:highlight w:val="none"/>
        </w:rPr>
      </w:pPr>
      <w:r>
        <w:rPr>
          <w:rStyle w:val="16"/>
          <w:rFonts w:hint="eastAsia" w:ascii="仿宋" w:hAnsi="仿宋" w:eastAsia="仿宋"/>
          <w:bCs/>
          <w:color w:val="auto"/>
          <w:sz w:val="32"/>
          <w:szCs w:val="32"/>
          <w:highlight w:val="none"/>
          <w:lang w:val="en-US" w:eastAsia="zh-CN"/>
        </w:rPr>
        <w:t>8</w:t>
      </w:r>
      <w:r>
        <w:rPr>
          <w:rStyle w:val="16"/>
          <w:rFonts w:ascii="仿宋" w:hAnsi="仿宋" w:eastAsia="仿宋"/>
          <w:bCs/>
          <w:color w:val="auto"/>
          <w:sz w:val="32"/>
          <w:szCs w:val="32"/>
          <w:highlight w:val="none"/>
        </w:rPr>
        <w:t>.</w:t>
      </w:r>
      <w:r>
        <w:rPr>
          <w:rStyle w:val="16"/>
          <w:rFonts w:hint="eastAsia" w:ascii="仿宋" w:hAnsi="仿宋" w:eastAsia="仿宋"/>
          <w:bCs/>
          <w:color w:val="auto"/>
          <w:sz w:val="32"/>
          <w:szCs w:val="32"/>
          <w:highlight w:val="none"/>
        </w:rPr>
        <w:t>社会保障和就业（类）行政事业单位养老支出（款）</w:t>
      </w:r>
      <w:r>
        <w:rPr>
          <w:rStyle w:val="16"/>
          <w:rFonts w:hint="eastAsia" w:ascii="仿宋" w:hAnsi="仿宋" w:eastAsia="仿宋"/>
          <w:bCs/>
          <w:color w:val="auto"/>
          <w:sz w:val="32"/>
          <w:szCs w:val="32"/>
          <w:highlight w:val="none"/>
          <w:lang w:val="en-US" w:eastAsia="zh-CN"/>
        </w:rPr>
        <w:t>其他行政事业单位养老支出</w:t>
      </w:r>
      <w:r>
        <w:rPr>
          <w:rStyle w:val="16"/>
          <w:rFonts w:hint="eastAsia" w:ascii="仿宋" w:hAnsi="仿宋" w:eastAsia="仿宋"/>
          <w:bCs/>
          <w:color w:val="auto"/>
          <w:sz w:val="32"/>
          <w:szCs w:val="32"/>
          <w:highlight w:val="none"/>
        </w:rPr>
        <w:t>（项）</w:t>
      </w:r>
      <w:r>
        <w:rPr>
          <w:rStyle w:val="16"/>
          <w:rFonts w:ascii="仿宋" w:hAnsi="仿宋" w:eastAsia="仿宋"/>
          <w:bCs/>
          <w:color w:val="auto"/>
          <w:sz w:val="32"/>
          <w:szCs w:val="32"/>
          <w:highlight w:val="none"/>
        </w:rPr>
        <w:t>:</w:t>
      </w:r>
      <w:r>
        <w:rPr>
          <w:rStyle w:val="16"/>
          <w:rFonts w:ascii="仿宋" w:hAnsi="仿宋" w:eastAsia="仿宋"/>
          <w:b w:val="0"/>
          <w:bCs/>
          <w:color w:val="auto"/>
          <w:sz w:val="32"/>
          <w:szCs w:val="32"/>
          <w:highlight w:val="none"/>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0.92</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，决算数</w:t>
      </w:r>
      <w:r>
        <w:rPr>
          <w:rStyle w:val="16"/>
          <w:rFonts w:hint="eastAsia" w:ascii="仿宋" w:hAnsi="仿宋" w:eastAsia="仿宋"/>
          <w:b w:val="0"/>
          <w:bCs/>
          <w:color w:val="auto"/>
          <w:sz w:val="32"/>
          <w:szCs w:val="32"/>
          <w:highlight w:val="none"/>
          <w:lang w:val="en-US" w:eastAsia="zh-CN"/>
        </w:rPr>
        <w:t>与</w:t>
      </w:r>
      <w:r>
        <w:rPr>
          <w:rStyle w:val="16"/>
          <w:rFonts w:hint="eastAsia" w:ascii="仿宋" w:hAnsi="仿宋" w:eastAsia="仿宋"/>
          <w:b w:val="0"/>
          <w:bCs/>
          <w:color w:val="auto"/>
          <w:sz w:val="32"/>
          <w:szCs w:val="32"/>
          <w:highlight w:val="none"/>
        </w:rPr>
        <w:t>预算数</w:t>
      </w:r>
      <w:r>
        <w:rPr>
          <w:rStyle w:val="16"/>
          <w:rFonts w:hint="eastAsia" w:ascii="仿宋" w:hAnsi="仿宋" w:eastAsia="仿宋"/>
          <w:b w:val="0"/>
          <w:bCs/>
          <w:color w:val="auto"/>
          <w:sz w:val="32"/>
          <w:szCs w:val="32"/>
          <w:highlight w:val="none"/>
          <w:lang w:val="en-US" w:eastAsia="zh-CN"/>
        </w:rPr>
        <w:t>持平</w:t>
      </w:r>
      <w:r>
        <w:rPr>
          <w:rStyle w:val="16"/>
          <w:rFonts w:hint="eastAsia" w:ascii="仿宋" w:hAnsi="仿宋" w:eastAsia="仿宋"/>
          <w:b w:val="0"/>
          <w:bCs/>
          <w:color w:val="auto"/>
          <w:sz w:val="32"/>
          <w:szCs w:val="32"/>
          <w:highlight w:val="none"/>
        </w:rPr>
        <w:t>。</w:t>
      </w:r>
    </w:p>
    <w:p>
      <w:pPr>
        <w:spacing w:line="600" w:lineRule="exact"/>
        <w:ind w:firstLine="643" w:firstLineChars="200"/>
        <w:rPr>
          <w:rFonts w:ascii="仿宋" w:hAnsi="仿宋" w:eastAsia="仿宋"/>
          <w:b/>
          <w:color w:val="auto"/>
          <w:sz w:val="32"/>
          <w:szCs w:val="32"/>
          <w:highlight w:val="none"/>
        </w:rPr>
      </w:pPr>
      <w:r>
        <w:rPr>
          <w:rStyle w:val="16"/>
          <w:rFonts w:hint="eastAsia" w:ascii="仿宋" w:hAnsi="仿宋" w:eastAsia="仿宋"/>
          <w:bCs/>
          <w:color w:val="auto"/>
          <w:sz w:val="32"/>
          <w:szCs w:val="32"/>
          <w:highlight w:val="none"/>
          <w:lang w:val="en-US" w:eastAsia="zh-CN"/>
        </w:rPr>
        <w:t>9</w:t>
      </w:r>
      <w:r>
        <w:rPr>
          <w:rStyle w:val="16"/>
          <w:rFonts w:ascii="仿宋" w:hAnsi="仿宋" w:eastAsia="仿宋"/>
          <w:bCs/>
          <w:color w:val="auto"/>
          <w:sz w:val="32"/>
          <w:szCs w:val="32"/>
          <w:highlight w:val="none"/>
        </w:rPr>
        <w:t>.</w:t>
      </w:r>
      <w:r>
        <w:rPr>
          <w:rStyle w:val="16"/>
          <w:rFonts w:hint="eastAsia" w:ascii="仿宋" w:hAnsi="仿宋" w:eastAsia="仿宋"/>
          <w:bCs/>
          <w:color w:val="auto"/>
          <w:sz w:val="32"/>
          <w:szCs w:val="32"/>
          <w:highlight w:val="none"/>
        </w:rPr>
        <w:t>社会保障和就业支出（类）抚恤（款）</w:t>
      </w:r>
      <w:r>
        <w:rPr>
          <w:rStyle w:val="16"/>
          <w:rFonts w:hint="eastAsia" w:ascii="仿宋" w:hAnsi="仿宋" w:eastAsia="仿宋"/>
          <w:bCs/>
          <w:color w:val="auto"/>
          <w:sz w:val="32"/>
          <w:szCs w:val="32"/>
          <w:highlight w:val="none"/>
          <w:lang w:val="en-US" w:eastAsia="zh-CN"/>
        </w:rPr>
        <w:t>死亡抚恤</w:t>
      </w:r>
      <w:r>
        <w:rPr>
          <w:rStyle w:val="16"/>
          <w:rFonts w:hint="eastAsia" w:ascii="仿宋" w:hAnsi="仿宋" w:eastAsia="仿宋"/>
          <w:bCs/>
          <w:color w:val="auto"/>
          <w:sz w:val="32"/>
          <w:szCs w:val="32"/>
          <w:highlight w:val="none"/>
        </w:rPr>
        <w:t>（项）</w:t>
      </w:r>
      <w:r>
        <w:rPr>
          <w:rStyle w:val="16"/>
          <w:rFonts w:ascii="仿宋" w:hAnsi="仿宋" w:eastAsia="仿宋"/>
          <w:bCs/>
          <w:color w:val="auto"/>
          <w:sz w:val="32"/>
          <w:szCs w:val="32"/>
          <w:highlight w:val="none"/>
        </w:rPr>
        <w:t>:</w:t>
      </w:r>
      <w:r>
        <w:rPr>
          <w:rStyle w:val="16"/>
          <w:rFonts w:ascii="仿宋" w:hAnsi="仿宋" w:eastAsia="仿宋"/>
          <w:b w:val="0"/>
          <w:bCs/>
          <w:color w:val="auto"/>
          <w:sz w:val="32"/>
          <w:szCs w:val="32"/>
          <w:highlight w:val="none"/>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0.07</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，决算数</w:t>
      </w:r>
      <w:r>
        <w:rPr>
          <w:rStyle w:val="16"/>
          <w:rFonts w:hint="eastAsia" w:ascii="仿宋" w:hAnsi="仿宋" w:eastAsia="仿宋"/>
          <w:b w:val="0"/>
          <w:bCs/>
          <w:color w:val="auto"/>
          <w:sz w:val="32"/>
          <w:szCs w:val="32"/>
          <w:highlight w:val="none"/>
          <w:lang w:val="en-US" w:eastAsia="zh-CN"/>
        </w:rPr>
        <w:t>与</w:t>
      </w:r>
      <w:r>
        <w:rPr>
          <w:rStyle w:val="16"/>
          <w:rFonts w:hint="eastAsia" w:ascii="仿宋" w:hAnsi="仿宋" w:eastAsia="仿宋"/>
          <w:b w:val="0"/>
          <w:bCs/>
          <w:color w:val="auto"/>
          <w:sz w:val="32"/>
          <w:szCs w:val="32"/>
          <w:highlight w:val="none"/>
        </w:rPr>
        <w:t>预算数</w:t>
      </w:r>
      <w:r>
        <w:rPr>
          <w:rStyle w:val="16"/>
          <w:rFonts w:hint="eastAsia" w:ascii="仿宋" w:hAnsi="仿宋" w:eastAsia="仿宋"/>
          <w:b w:val="0"/>
          <w:bCs/>
          <w:color w:val="auto"/>
          <w:sz w:val="32"/>
          <w:szCs w:val="32"/>
          <w:highlight w:val="none"/>
          <w:lang w:val="en-US" w:eastAsia="zh-CN"/>
        </w:rPr>
        <w:t>持平</w:t>
      </w:r>
      <w:r>
        <w:rPr>
          <w:rStyle w:val="16"/>
          <w:rFonts w:hint="eastAsia" w:ascii="仿宋" w:hAnsi="仿宋" w:eastAsia="仿宋"/>
          <w:b w:val="0"/>
          <w:bCs/>
          <w:color w:val="auto"/>
          <w:sz w:val="32"/>
          <w:szCs w:val="32"/>
          <w:highlight w:val="none"/>
        </w:rPr>
        <w:t>。</w:t>
      </w:r>
    </w:p>
    <w:p>
      <w:pPr>
        <w:spacing w:line="600" w:lineRule="exact"/>
        <w:ind w:firstLine="643" w:firstLineChars="200"/>
        <w:rPr>
          <w:rFonts w:ascii="仿宋" w:hAnsi="仿宋" w:eastAsia="仿宋"/>
          <w:b/>
          <w:color w:val="auto"/>
          <w:sz w:val="32"/>
          <w:szCs w:val="32"/>
          <w:highlight w:val="none"/>
        </w:rPr>
      </w:pPr>
      <w:r>
        <w:rPr>
          <w:rStyle w:val="16"/>
          <w:rFonts w:hint="eastAsia" w:ascii="仿宋" w:hAnsi="仿宋" w:eastAsia="仿宋"/>
          <w:bCs/>
          <w:color w:val="auto"/>
          <w:sz w:val="32"/>
          <w:szCs w:val="32"/>
          <w:highlight w:val="none"/>
          <w:lang w:val="en-US" w:eastAsia="zh-CN"/>
        </w:rPr>
        <w:t>10</w:t>
      </w:r>
      <w:r>
        <w:rPr>
          <w:rStyle w:val="16"/>
          <w:rFonts w:ascii="仿宋" w:hAnsi="仿宋" w:eastAsia="仿宋"/>
          <w:bCs/>
          <w:color w:val="auto"/>
          <w:sz w:val="32"/>
          <w:szCs w:val="32"/>
          <w:highlight w:val="none"/>
        </w:rPr>
        <w:t>.</w:t>
      </w:r>
      <w:r>
        <w:rPr>
          <w:rStyle w:val="16"/>
          <w:rFonts w:hint="eastAsia" w:ascii="仿宋" w:hAnsi="仿宋" w:eastAsia="仿宋"/>
          <w:bCs/>
          <w:color w:val="auto"/>
          <w:sz w:val="32"/>
          <w:szCs w:val="32"/>
          <w:highlight w:val="none"/>
        </w:rPr>
        <w:t>卫生健康支出（类）卫生健康管理事务（款）</w:t>
      </w:r>
      <w:r>
        <w:rPr>
          <w:rStyle w:val="16"/>
          <w:rFonts w:hint="eastAsia" w:ascii="仿宋" w:hAnsi="仿宋" w:eastAsia="仿宋"/>
          <w:bCs/>
          <w:color w:val="auto"/>
          <w:sz w:val="32"/>
          <w:szCs w:val="32"/>
          <w:highlight w:val="none"/>
          <w:lang w:val="en-US" w:eastAsia="zh-CN"/>
        </w:rPr>
        <w:t>一般行政管理事务</w:t>
      </w:r>
      <w:r>
        <w:rPr>
          <w:rStyle w:val="16"/>
          <w:rFonts w:hint="eastAsia" w:ascii="仿宋" w:hAnsi="仿宋" w:eastAsia="仿宋"/>
          <w:bCs/>
          <w:color w:val="auto"/>
          <w:sz w:val="32"/>
          <w:szCs w:val="32"/>
          <w:highlight w:val="none"/>
        </w:rPr>
        <w:t>（项）</w:t>
      </w:r>
      <w:r>
        <w:rPr>
          <w:rStyle w:val="16"/>
          <w:rFonts w:ascii="仿宋" w:hAnsi="仿宋" w:eastAsia="仿宋"/>
          <w:bCs/>
          <w:color w:val="auto"/>
          <w:sz w:val="32"/>
          <w:szCs w:val="32"/>
          <w:highlight w:val="none"/>
        </w:rPr>
        <w:t>:</w:t>
      </w:r>
      <w:r>
        <w:rPr>
          <w:rStyle w:val="16"/>
          <w:rFonts w:ascii="仿宋" w:hAnsi="仿宋" w:eastAsia="仿宋"/>
          <w:b w:val="0"/>
          <w:bCs/>
          <w:color w:val="auto"/>
          <w:sz w:val="32"/>
          <w:szCs w:val="32"/>
          <w:highlight w:val="none"/>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60.00</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，决算数</w:t>
      </w:r>
      <w:r>
        <w:rPr>
          <w:rStyle w:val="16"/>
          <w:rFonts w:hint="eastAsia" w:ascii="仿宋" w:hAnsi="仿宋" w:eastAsia="仿宋"/>
          <w:b w:val="0"/>
          <w:bCs/>
          <w:color w:val="auto"/>
          <w:sz w:val="32"/>
          <w:szCs w:val="32"/>
          <w:highlight w:val="none"/>
          <w:lang w:val="en-US" w:eastAsia="zh-CN"/>
        </w:rPr>
        <w:t>与</w:t>
      </w:r>
      <w:r>
        <w:rPr>
          <w:rStyle w:val="16"/>
          <w:rFonts w:hint="eastAsia" w:ascii="仿宋" w:hAnsi="仿宋" w:eastAsia="仿宋"/>
          <w:b w:val="0"/>
          <w:bCs/>
          <w:color w:val="auto"/>
          <w:sz w:val="32"/>
          <w:szCs w:val="32"/>
          <w:highlight w:val="none"/>
        </w:rPr>
        <w:t>预算数</w:t>
      </w:r>
      <w:r>
        <w:rPr>
          <w:rStyle w:val="16"/>
          <w:rFonts w:hint="eastAsia" w:ascii="仿宋" w:hAnsi="仿宋" w:eastAsia="仿宋"/>
          <w:b w:val="0"/>
          <w:bCs/>
          <w:color w:val="auto"/>
          <w:sz w:val="32"/>
          <w:szCs w:val="32"/>
          <w:highlight w:val="none"/>
          <w:lang w:val="en-US" w:eastAsia="zh-CN"/>
        </w:rPr>
        <w:t>持平</w:t>
      </w:r>
      <w:r>
        <w:rPr>
          <w:rStyle w:val="16"/>
          <w:rFonts w:hint="eastAsia" w:ascii="仿宋" w:hAnsi="仿宋" w:eastAsia="仿宋"/>
          <w:b w:val="0"/>
          <w:bCs/>
          <w:color w:val="auto"/>
          <w:sz w:val="32"/>
          <w:szCs w:val="32"/>
          <w:highlight w:val="none"/>
        </w:rPr>
        <w:t>。</w:t>
      </w:r>
    </w:p>
    <w:p>
      <w:pPr>
        <w:spacing w:line="600" w:lineRule="exact"/>
        <w:ind w:firstLine="643" w:firstLineChars="200"/>
        <w:rPr>
          <w:rStyle w:val="16"/>
          <w:rFonts w:hint="eastAsia" w:ascii="仿宋" w:hAnsi="仿宋" w:eastAsia="仿宋"/>
          <w:b w:val="0"/>
          <w:bCs/>
          <w:color w:val="auto"/>
          <w:sz w:val="32"/>
          <w:szCs w:val="32"/>
          <w:highlight w:val="none"/>
        </w:rPr>
      </w:pPr>
      <w:r>
        <w:rPr>
          <w:rStyle w:val="16"/>
          <w:rFonts w:hint="eastAsia" w:ascii="仿宋" w:hAnsi="仿宋" w:eastAsia="仿宋"/>
          <w:bCs/>
          <w:color w:val="auto"/>
          <w:sz w:val="32"/>
          <w:szCs w:val="32"/>
          <w:highlight w:val="none"/>
          <w:lang w:val="en-US" w:eastAsia="zh-CN"/>
        </w:rPr>
        <w:t>11</w:t>
      </w:r>
      <w:r>
        <w:rPr>
          <w:rStyle w:val="16"/>
          <w:rFonts w:ascii="仿宋" w:hAnsi="仿宋" w:eastAsia="仿宋"/>
          <w:bCs/>
          <w:color w:val="auto"/>
          <w:sz w:val="32"/>
          <w:szCs w:val="32"/>
          <w:highlight w:val="none"/>
        </w:rPr>
        <w:t>.</w:t>
      </w:r>
      <w:r>
        <w:rPr>
          <w:rStyle w:val="16"/>
          <w:rFonts w:hint="eastAsia" w:ascii="仿宋" w:hAnsi="仿宋" w:eastAsia="仿宋"/>
          <w:bCs/>
          <w:color w:val="auto"/>
          <w:sz w:val="32"/>
          <w:szCs w:val="32"/>
          <w:highlight w:val="none"/>
        </w:rPr>
        <w:t>卫生健康支出（类）行政事业单位医疗（款）</w:t>
      </w:r>
      <w:r>
        <w:rPr>
          <w:rStyle w:val="16"/>
          <w:rFonts w:hint="eastAsia" w:ascii="仿宋" w:hAnsi="仿宋" w:eastAsia="仿宋"/>
          <w:bCs/>
          <w:color w:val="auto"/>
          <w:sz w:val="32"/>
          <w:szCs w:val="32"/>
          <w:highlight w:val="none"/>
          <w:lang w:val="en-US" w:eastAsia="zh-CN"/>
        </w:rPr>
        <w:t>事业单位医疗</w:t>
      </w:r>
      <w:r>
        <w:rPr>
          <w:rStyle w:val="16"/>
          <w:rFonts w:hint="eastAsia" w:ascii="仿宋" w:hAnsi="仿宋" w:eastAsia="仿宋"/>
          <w:bCs/>
          <w:color w:val="auto"/>
          <w:sz w:val="32"/>
          <w:szCs w:val="32"/>
          <w:highlight w:val="none"/>
        </w:rPr>
        <w:t>（项）</w:t>
      </w:r>
      <w:r>
        <w:rPr>
          <w:rStyle w:val="16"/>
          <w:rFonts w:ascii="仿宋" w:hAnsi="仿宋" w:eastAsia="仿宋"/>
          <w:bCs/>
          <w:color w:val="auto"/>
          <w:sz w:val="32"/>
          <w:szCs w:val="32"/>
          <w:highlight w:val="none"/>
        </w:rPr>
        <w:t>:</w:t>
      </w:r>
      <w:r>
        <w:rPr>
          <w:rStyle w:val="16"/>
          <w:rFonts w:ascii="仿宋" w:hAnsi="仿宋" w:eastAsia="仿宋"/>
          <w:b w:val="0"/>
          <w:bCs/>
          <w:color w:val="auto"/>
          <w:sz w:val="32"/>
          <w:szCs w:val="32"/>
          <w:highlight w:val="none"/>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41.33</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，决算数</w:t>
      </w:r>
      <w:r>
        <w:rPr>
          <w:rStyle w:val="16"/>
          <w:rFonts w:hint="eastAsia" w:ascii="仿宋" w:hAnsi="仿宋" w:eastAsia="仿宋"/>
          <w:b w:val="0"/>
          <w:bCs/>
          <w:color w:val="auto"/>
          <w:sz w:val="32"/>
          <w:szCs w:val="32"/>
          <w:highlight w:val="none"/>
          <w:lang w:val="en-US" w:eastAsia="zh-CN"/>
        </w:rPr>
        <w:t>与</w:t>
      </w:r>
      <w:r>
        <w:rPr>
          <w:rStyle w:val="16"/>
          <w:rFonts w:hint="eastAsia" w:ascii="仿宋" w:hAnsi="仿宋" w:eastAsia="仿宋"/>
          <w:b w:val="0"/>
          <w:bCs/>
          <w:color w:val="auto"/>
          <w:sz w:val="32"/>
          <w:szCs w:val="32"/>
          <w:highlight w:val="none"/>
        </w:rPr>
        <w:t>预算数</w:t>
      </w:r>
      <w:r>
        <w:rPr>
          <w:rStyle w:val="16"/>
          <w:rFonts w:hint="eastAsia" w:ascii="仿宋" w:hAnsi="仿宋" w:eastAsia="仿宋"/>
          <w:b w:val="0"/>
          <w:bCs/>
          <w:color w:val="auto"/>
          <w:sz w:val="32"/>
          <w:szCs w:val="32"/>
          <w:highlight w:val="none"/>
          <w:lang w:val="en-US" w:eastAsia="zh-CN"/>
        </w:rPr>
        <w:t>持平</w:t>
      </w:r>
      <w:r>
        <w:rPr>
          <w:rStyle w:val="16"/>
          <w:rFonts w:hint="eastAsia" w:ascii="仿宋" w:hAnsi="仿宋" w:eastAsia="仿宋"/>
          <w:b w:val="0"/>
          <w:bCs/>
          <w:color w:val="auto"/>
          <w:sz w:val="32"/>
          <w:szCs w:val="32"/>
          <w:highlight w:val="none"/>
        </w:rPr>
        <w:t>。</w:t>
      </w:r>
    </w:p>
    <w:p>
      <w:pPr>
        <w:spacing w:line="600" w:lineRule="exact"/>
        <w:ind w:firstLine="643" w:firstLineChars="200"/>
        <w:rPr>
          <w:rFonts w:ascii="仿宋" w:hAnsi="仿宋" w:eastAsia="仿宋"/>
          <w:b/>
          <w:color w:val="auto"/>
          <w:sz w:val="32"/>
          <w:szCs w:val="32"/>
          <w:highlight w:val="none"/>
        </w:rPr>
      </w:pPr>
      <w:r>
        <w:rPr>
          <w:rStyle w:val="16"/>
          <w:rFonts w:hint="eastAsia" w:ascii="仿宋" w:hAnsi="仿宋" w:eastAsia="仿宋"/>
          <w:bCs/>
          <w:color w:val="auto"/>
          <w:sz w:val="32"/>
          <w:szCs w:val="32"/>
          <w:highlight w:val="none"/>
          <w:lang w:val="en-US" w:eastAsia="zh-CN"/>
        </w:rPr>
        <w:t>12</w:t>
      </w:r>
      <w:r>
        <w:rPr>
          <w:rStyle w:val="16"/>
          <w:rFonts w:ascii="仿宋" w:hAnsi="仿宋" w:eastAsia="仿宋"/>
          <w:bCs/>
          <w:color w:val="auto"/>
          <w:sz w:val="32"/>
          <w:szCs w:val="32"/>
          <w:highlight w:val="none"/>
        </w:rPr>
        <w:t>.</w:t>
      </w:r>
      <w:r>
        <w:rPr>
          <w:rStyle w:val="16"/>
          <w:rFonts w:hint="eastAsia" w:ascii="仿宋" w:hAnsi="仿宋" w:eastAsia="仿宋"/>
          <w:bCs/>
          <w:color w:val="auto"/>
          <w:sz w:val="32"/>
          <w:szCs w:val="32"/>
          <w:highlight w:val="none"/>
        </w:rPr>
        <w:t>卫生健康支出（类）行政事业单位医疗（款）</w:t>
      </w:r>
      <w:r>
        <w:rPr>
          <w:rStyle w:val="16"/>
          <w:rFonts w:hint="eastAsia" w:ascii="仿宋" w:hAnsi="仿宋" w:eastAsia="仿宋"/>
          <w:bCs/>
          <w:color w:val="auto"/>
          <w:sz w:val="32"/>
          <w:szCs w:val="32"/>
          <w:highlight w:val="none"/>
          <w:lang w:val="en-US" w:eastAsia="zh-CN"/>
        </w:rPr>
        <w:t>其他行政事业单位医疗支出</w:t>
      </w:r>
      <w:r>
        <w:rPr>
          <w:rStyle w:val="16"/>
          <w:rFonts w:hint="eastAsia" w:ascii="仿宋" w:hAnsi="仿宋" w:eastAsia="仿宋"/>
          <w:bCs/>
          <w:color w:val="auto"/>
          <w:sz w:val="32"/>
          <w:szCs w:val="32"/>
          <w:highlight w:val="none"/>
        </w:rPr>
        <w:t>（项）</w:t>
      </w:r>
      <w:r>
        <w:rPr>
          <w:rStyle w:val="16"/>
          <w:rFonts w:ascii="仿宋" w:hAnsi="仿宋" w:eastAsia="仿宋"/>
          <w:bCs/>
          <w:color w:val="auto"/>
          <w:sz w:val="32"/>
          <w:szCs w:val="32"/>
          <w:highlight w:val="none"/>
        </w:rPr>
        <w:t>:</w:t>
      </w:r>
      <w:r>
        <w:rPr>
          <w:rStyle w:val="16"/>
          <w:rFonts w:ascii="仿宋" w:hAnsi="仿宋" w:eastAsia="仿宋"/>
          <w:b w:val="0"/>
          <w:bCs/>
          <w:color w:val="auto"/>
          <w:sz w:val="32"/>
          <w:szCs w:val="32"/>
          <w:highlight w:val="none"/>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0.81</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，决算数</w:t>
      </w:r>
      <w:r>
        <w:rPr>
          <w:rStyle w:val="16"/>
          <w:rFonts w:hint="eastAsia" w:ascii="仿宋" w:hAnsi="仿宋" w:eastAsia="仿宋"/>
          <w:b w:val="0"/>
          <w:bCs/>
          <w:color w:val="auto"/>
          <w:sz w:val="32"/>
          <w:szCs w:val="32"/>
          <w:highlight w:val="none"/>
          <w:lang w:val="en-US" w:eastAsia="zh-CN"/>
        </w:rPr>
        <w:t>与</w:t>
      </w:r>
      <w:r>
        <w:rPr>
          <w:rStyle w:val="16"/>
          <w:rFonts w:hint="eastAsia" w:ascii="仿宋" w:hAnsi="仿宋" w:eastAsia="仿宋"/>
          <w:b w:val="0"/>
          <w:bCs/>
          <w:color w:val="auto"/>
          <w:sz w:val="32"/>
          <w:szCs w:val="32"/>
          <w:highlight w:val="none"/>
        </w:rPr>
        <w:t>预算数</w:t>
      </w:r>
      <w:r>
        <w:rPr>
          <w:rStyle w:val="16"/>
          <w:rFonts w:hint="eastAsia" w:ascii="仿宋" w:hAnsi="仿宋" w:eastAsia="仿宋"/>
          <w:b w:val="0"/>
          <w:bCs/>
          <w:color w:val="auto"/>
          <w:sz w:val="32"/>
          <w:szCs w:val="32"/>
          <w:highlight w:val="none"/>
          <w:lang w:val="en-US" w:eastAsia="zh-CN"/>
        </w:rPr>
        <w:t>持平</w:t>
      </w:r>
      <w:r>
        <w:rPr>
          <w:rStyle w:val="16"/>
          <w:rFonts w:hint="eastAsia" w:ascii="仿宋" w:hAnsi="仿宋" w:eastAsia="仿宋"/>
          <w:b w:val="0"/>
          <w:bCs/>
          <w:color w:val="auto"/>
          <w:sz w:val="32"/>
          <w:szCs w:val="32"/>
          <w:highlight w:val="none"/>
        </w:rPr>
        <w:t>。</w:t>
      </w:r>
    </w:p>
    <w:p>
      <w:pPr>
        <w:spacing w:line="600" w:lineRule="exact"/>
        <w:ind w:firstLine="643" w:firstLineChars="200"/>
        <w:rPr>
          <w:rFonts w:ascii="仿宋" w:hAnsi="仿宋" w:eastAsia="仿宋"/>
          <w:b/>
          <w:color w:val="auto"/>
          <w:sz w:val="32"/>
          <w:szCs w:val="32"/>
          <w:highlight w:val="none"/>
        </w:rPr>
      </w:pPr>
      <w:r>
        <w:rPr>
          <w:rStyle w:val="16"/>
          <w:rFonts w:hint="eastAsia" w:ascii="仿宋" w:hAnsi="仿宋" w:eastAsia="仿宋"/>
          <w:bCs/>
          <w:color w:val="auto"/>
          <w:sz w:val="32"/>
          <w:szCs w:val="32"/>
          <w:highlight w:val="none"/>
          <w:lang w:val="en-US" w:eastAsia="zh-CN"/>
        </w:rPr>
        <w:t>13</w:t>
      </w:r>
      <w:r>
        <w:rPr>
          <w:rStyle w:val="16"/>
          <w:rFonts w:ascii="仿宋" w:hAnsi="仿宋" w:eastAsia="仿宋"/>
          <w:bCs/>
          <w:color w:val="auto"/>
          <w:sz w:val="32"/>
          <w:szCs w:val="32"/>
          <w:highlight w:val="none"/>
        </w:rPr>
        <w:t>.</w:t>
      </w:r>
      <w:r>
        <w:rPr>
          <w:rStyle w:val="16"/>
          <w:rFonts w:hint="eastAsia" w:ascii="仿宋" w:hAnsi="仿宋" w:eastAsia="仿宋"/>
          <w:bCs/>
          <w:color w:val="auto"/>
          <w:sz w:val="32"/>
          <w:szCs w:val="32"/>
          <w:highlight w:val="none"/>
        </w:rPr>
        <w:t>住房保障支出（类）住房改革支出（款）</w:t>
      </w:r>
      <w:r>
        <w:rPr>
          <w:rStyle w:val="16"/>
          <w:rFonts w:hint="eastAsia" w:ascii="仿宋" w:hAnsi="仿宋" w:eastAsia="仿宋"/>
          <w:bCs/>
          <w:color w:val="auto"/>
          <w:sz w:val="32"/>
          <w:szCs w:val="32"/>
          <w:highlight w:val="none"/>
          <w:lang w:val="en-US" w:eastAsia="zh-CN"/>
        </w:rPr>
        <w:t>住房公积金</w:t>
      </w:r>
      <w:r>
        <w:rPr>
          <w:rStyle w:val="16"/>
          <w:rFonts w:hint="eastAsia" w:ascii="仿宋" w:hAnsi="仿宋" w:eastAsia="仿宋"/>
          <w:bCs/>
          <w:color w:val="auto"/>
          <w:sz w:val="32"/>
          <w:szCs w:val="32"/>
          <w:highlight w:val="none"/>
        </w:rPr>
        <w:t>（项）</w:t>
      </w:r>
      <w:r>
        <w:rPr>
          <w:rStyle w:val="16"/>
          <w:rFonts w:ascii="仿宋" w:hAnsi="仿宋" w:eastAsia="仿宋"/>
          <w:bCs/>
          <w:color w:val="auto"/>
          <w:sz w:val="32"/>
          <w:szCs w:val="32"/>
          <w:highlight w:val="none"/>
        </w:rPr>
        <w:t>:</w:t>
      </w:r>
      <w:r>
        <w:rPr>
          <w:rStyle w:val="16"/>
          <w:rFonts w:ascii="仿宋" w:hAnsi="仿宋" w:eastAsia="仿宋"/>
          <w:b w:val="0"/>
          <w:bCs/>
          <w:color w:val="auto"/>
          <w:sz w:val="32"/>
          <w:szCs w:val="32"/>
          <w:highlight w:val="none"/>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88.35</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，决算数</w:t>
      </w:r>
      <w:r>
        <w:rPr>
          <w:rStyle w:val="16"/>
          <w:rFonts w:hint="eastAsia" w:ascii="仿宋" w:hAnsi="仿宋" w:eastAsia="仿宋"/>
          <w:b w:val="0"/>
          <w:bCs/>
          <w:color w:val="auto"/>
          <w:sz w:val="32"/>
          <w:szCs w:val="32"/>
          <w:highlight w:val="none"/>
          <w:lang w:val="en-US" w:eastAsia="zh-CN"/>
        </w:rPr>
        <w:t>与</w:t>
      </w:r>
      <w:r>
        <w:rPr>
          <w:rStyle w:val="16"/>
          <w:rFonts w:hint="eastAsia" w:ascii="仿宋" w:hAnsi="仿宋" w:eastAsia="仿宋"/>
          <w:b w:val="0"/>
          <w:bCs/>
          <w:color w:val="auto"/>
          <w:sz w:val="32"/>
          <w:szCs w:val="32"/>
          <w:highlight w:val="none"/>
        </w:rPr>
        <w:t>预算数</w:t>
      </w:r>
      <w:r>
        <w:rPr>
          <w:rStyle w:val="16"/>
          <w:rFonts w:hint="eastAsia" w:ascii="仿宋" w:hAnsi="仿宋" w:eastAsia="仿宋"/>
          <w:b w:val="0"/>
          <w:bCs/>
          <w:color w:val="auto"/>
          <w:sz w:val="32"/>
          <w:szCs w:val="32"/>
          <w:highlight w:val="none"/>
          <w:lang w:val="en-US" w:eastAsia="zh-CN"/>
        </w:rPr>
        <w:t>持平</w:t>
      </w:r>
      <w:r>
        <w:rPr>
          <w:rStyle w:val="16"/>
          <w:rFonts w:hint="eastAsia" w:ascii="仿宋" w:hAnsi="仿宋" w:eastAsia="仿宋"/>
          <w:b w:val="0"/>
          <w:bCs/>
          <w:color w:val="auto"/>
          <w:sz w:val="32"/>
          <w:szCs w:val="32"/>
          <w:highlight w:val="none"/>
        </w:rPr>
        <w:t>。</w:t>
      </w:r>
    </w:p>
    <w:p>
      <w:pPr>
        <w:spacing w:line="600" w:lineRule="exact"/>
        <w:rPr>
          <w:rFonts w:ascii="仿宋" w:hAnsi="仿宋" w:eastAsia="仿宋"/>
          <w:b/>
          <w:color w:val="auto"/>
          <w:sz w:val="32"/>
          <w:szCs w:val="32"/>
          <w:highlight w:val="none"/>
        </w:rPr>
      </w:pPr>
    </w:p>
    <w:p>
      <w:pPr>
        <w:tabs>
          <w:tab w:val="right" w:pos="8306"/>
        </w:tabs>
        <w:spacing w:line="600" w:lineRule="exact"/>
        <w:ind w:firstLine="640"/>
        <w:outlineLvl w:val="1"/>
        <w:rPr>
          <w:rStyle w:val="28"/>
          <w:color w:val="auto"/>
          <w:highlight w:val="none"/>
        </w:rPr>
      </w:pPr>
      <w:bookmarkStart w:id="50" w:name="_Toc15377214"/>
      <w:bookmarkStart w:id="51" w:name="_Toc15396608"/>
      <w:bookmarkStart w:id="52" w:name="_Toc4396"/>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28"/>
          <w:rFonts w:hint="eastAsia" w:ascii="黑体" w:hAnsi="黑体" w:eastAsia="黑体"/>
          <w:b w:val="0"/>
          <w:color w:val="auto"/>
          <w:highlight w:val="none"/>
        </w:rPr>
        <w:t>般公共预算财政拨款基本支出决算情况说明</w:t>
      </w:r>
      <w:bookmarkEnd w:id="50"/>
      <w:bookmarkEnd w:id="51"/>
      <w:bookmarkEnd w:id="52"/>
      <w:r>
        <w:rPr>
          <w:rStyle w:val="28"/>
          <w:rFonts w:ascii="黑体" w:hAnsi="黑体" w:eastAsia="黑体"/>
          <w:b w:val="0"/>
          <w:color w:val="auto"/>
          <w:highlight w:val="none"/>
        </w:rPr>
        <w:tab/>
      </w:r>
    </w:p>
    <w:p>
      <w:pPr>
        <w:spacing w:line="600" w:lineRule="exact"/>
        <w:ind w:firstLine="645"/>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年一般公共预算财政拨款基本支出</w:t>
      </w:r>
      <w:r>
        <w:rPr>
          <w:rFonts w:hint="eastAsia" w:ascii="仿宋" w:hAnsi="仿宋" w:eastAsia="仿宋"/>
          <w:color w:val="auto"/>
          <w:sz w:val="32"/>
          <w:szCs w:val="32"/>
          <w:highlight w:val="none"/>
          <w:lang w:val="en-US" w:eastAsia="zh-CN"/>
        </w:rPr>
        <w:t>1,162.50</w:t>
      </w:r>
      <w:r>
        <w:rPr>
          <w:rFonts w:hint="eastAsia" w:ascii="仿宋" w:hAnsi="仿宋" w:eastAsia="仿宋"/>
          <w:color w:val="auto"/>
          <w:sz w:val="32"/>
          <w:szCs w:val="32"/>
          <w:highlight w:val="none"/>
        </w:rPr>
        <w:t>万元，其中：</w:t>
      </w:r>
    </w:p>
    <w:p>
      <w:pPr>
        <w:spacing w:line="600" w:lineRule="exact"/>
        <w:ind w:firstLine="645"/>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1,002.35</w:t>
      </w:r>
      <w:r>
        <w:rPr>
          <w:rFonts w:hint="eastAsia" w:ascii="仿宋" w:hAnsi="仿宋" w:eastAsia="仿宋"/>
          <w:color w:val="auto"/>
          <w:sz w:val="32"/>
          <w:szCs w:val="32"/>
          <w:highlight w:val="none"/>
        </w:rPr>
        <w:t>万元，主要包括：基本工资、津贴补贴、绩效工资、机关事业单位基本养老保险缴费、其他社会保障缴费、其他工资福利支出、抚恤金、生活补助、医疗费补助、奖励金、住房公积金、其他对个人和家庭的补助支出等。</w:t>
      </w:r>
    </w:p>
    <w:p>
      <w:pPr>
        <w:spacing w:line="600" w:lineRule="exact"/>
        <w:ind w:firstLine="645"/>
        <w:rPr>
          <w:rFonts w:ascii="仿宋" w:hAnsi="仿宋" w:eastAsia="仿宋"/>
          <w:color w:val="auto"/>
          <w:sz w:val="32"/>
          <w:szCs w:val="32"/>
          <w:highlight w:val="none"/>
        </w:rPr>
      </w:pPr>
      <w:r>
        <w:rPr>
          <w:rFonts w:hint="eastAsia" w:ascii="仿宋" w:hAnsi="仿宋" w:eastAsia="仿宋"/>
          <w:color w:val="auto"/>
          <w:sz w:val="32"/>
          <w:szCs w:val="32"/>
          <w:highlight w:val="none"/>
        </w:rPr>
        <w:t>公用经费</w:t>
      </w:r>
      <w:r>
        <w:rPr>
          <w:rFonts w:hint="eastAsia" w:ascii="仿宋" w:hAnsi="仿宋" w:eastAsia="仿宋"/>
          <w:color w:val="auto"/>
          <w:sz w:val="32"/>
          <w:szCs w:val="32"/>
          <w:highlight w:val="none"/>
          <w:lang w:val="en-US" w:eastAsia="zh-CN"/>
        </w:rPr>
        <w:t>160.15</w:t>
      </w:r>
      <w:r>
        <w:rPr>
          <w:rFonts w:hint="eastAsia" w:ascii="仿宋" w:hAnsi="仿宋" w:eastAsia="仿宋"/>
          <w:color w:val="auto"/>
          <w:sz w:val="32"/>
          <w:szCs w:val="32"/>
          <w:highlight w:val="none"/>
        </w:rPr>
        <w:t>万元，主要包括：办公费、印刷费、咨询费、手续费、水费、电费、邮电费、物业管理费、差旅费、维修（护）费、会议费、培训费、公务接待费、劳务费、委托业务费、工会经费、福利费、公务用车运行维护费、其他交通费、其他商品和服务支出、办公设备购置。</w:t>
      </w:r>
    </w:p>
    <w:p>
      <w:pPr>
        <w:spacing w:line="600" w:lineRule="exact"/>
        <w:ind w:firstLine="640"/>
        <w:rPr>
          <w:rFonts w:ascii="仿宋" w:hAnsi="仿宋" w:eastAsia="仿宋"/>
          <w:b/>
          <w:color w:val="auto"/>
          <w:sz w:val="32"/>
          <w:szCs w:val="32"/>
          <w:highlight w:val="none"/>
        </w:rPr>
      </w:pPr>
    </w:p>
    <w:p>
      <w:pPr>
        <w:spacing w:line="600" w:lineRule="exact"/>
        <w:ind w:firstLine="640"/>
        <w:outlineLvl w:val="1"/>
        <w:rPr>
          <w:rStyle w:val="28"/>
          <w:rFonts w:ascii="黑体" w:hAnsi="黑体" w:eastAsia="黑体"/>
          <w:b w:val="0"/>
          <w:color w:val="auto"/>
          <w:highlight w:val="none"/>
        </w:rPr>
      </w:pPr>
      <w:bookmarkStart w:id="53" w:name="_Toc15377215"/>
      <w:bookmarkStart w:id="54" w:name="_Toc15396609"/>
      <w:bookmarkStart w:id="55" w:name="_Toc2375"/>
      <w:r>
        <w:rPr>
          <w:rFonts w:hint="eastAsia" w:ascii="黑体" w:eastAsia="黑体"/>
          <w:color w:val="auto"/>
          <w:sz w:val="32"/>
          <w:szCs w:val="32"/>
          <w:highlight w:val="none"/>
        </w:rPr>
        <w:t>七、</w:t>
      </w:r>
      <w:r>
        <w:rPr>
          <w:rStyle w:val="28"/>
          <w:rFonts w:hint="eastAsia" w:ascii="黑体" w:hAnsi="黑体" w:eastAsia="黑体"/>
          <w:b w:val="0"/>
          <w:color w:val="auto"/>
          <w:highlight w:val="none"/>
        </w:rPr>
        <w:t>财政拨款</w:t>
      </w:r>
      <w:r>
        <w:rPr>
          <w:rStyle w:val="28"/>
          <w:rFonts w:hint="eastAsia" w:ascii="黑体" w:hAnsi="黑体" w:eastAsia="黑体"/>
          <w:color w:val="auto"/>
          <w:highlight w:val="none"/>
        </w:rPr>
        <w:t>“</w:t>
      </w:r>
      <w:r>
        <w:rPr>
          <w:rStyle w:val="28"/>
          <w:rFonts w:hint="eastAsia" w:ascii="黑体" w:hAnsi="黑体" w:eastAsia="黑体"/>
          <w:b w:val="0"/>
          <w:color w:val="auto"/>
          <w:highlight w:val="none"/>
        </w:rPr>
        <w:t>三公”经费支出决算情况说明</w:t>
      </w:r>
      <w:bookmarkEnd w:id="53"/>
      <w:bookmarkEnd w:id="54"/>
      <w:bookmarkEnd w:id="55"/>
    </w:p>
    <w:p>
      <w:pPr>
        <w:spacing w:line="600" w:lineRule="exact"/>
        <w:ind w:firstLine="640"/>
        <w:outlineLvl w:val="2"/>
        <w:rPr>
          <w:rFonts w:ascii="仿宋" w:hAnsi="仿宋" w:eastAsia="仿宋"/>
          <w:b/>
          <w:color w:val="auto"/>
          <w:sz w:val="32"/>
          <w:szCs w:val="32"/>
          <w:highlight w:val="none"/>
        </w:rPr>
      </w:pPr>
      <w:bookmarkStart w:id="56" w:name="_Toc15377216"/>
      <w:r>
        <w:rPr>
          <w:rFonts w:hint="eastAsia" w:ascii="仿宋" w:hAnsi="仿宋" w:eastAsia="仿宋"/>
          <w:b/>
          <w:color w:val="auto"/>
          <w:sz w:val="32"/>
          <w:szCs w:val="32"/>
          <w:highlight w:val="none"/>
        </w:rPr>
        <w:t>（一）“三公”经费财政拨款支出决算总体情况说明</w:t>
      </w:r>
      <w:bookmarkEnd w:id="56"/>
    </w:p>
    <w:p>
      <w:pPr>
        <w:spacing w:line="600" w:lineRule="exact"/>
        <w:ind w:firstLine="64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年“三公”经费财政拨款支出决算为</w:t>
      </w:r>
      <w:r>
        <w:rPr>
          <w:rFonts w:hint="eastAsia" w:ascii="仿宋" w:hAnsi="仿宋" w:eastAsia="仿宋"/>
          <w:color w:val="auto"/>
          <w:sz w:val="32"/>
          <w:szCs w:val="32"/>
          <w:highlight w:val="none"/>
          <w:lang w:val="en-US" w:eastAsia="zh-CN"/>
        </w:rPr>
        <w:t>12.03</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较上年</w:t>
      </w:r>
      <w:r>
        <w:rPr>
          <w:rFonts w:hint="eastAsia" w:ascii="仿宋" w:hAnsi="仿宋" w:eastAsia="仿宋"/>
          <w:color w:val="auto"/>
          <w:sz w:val="32"/>
          <w:szCs w:val="32"/>
          <w:highlight w:val="none"/>
          <w:lang w:val="en-US" w:eastAsia="zh-CN"/>
        </w:rPr>
        <w:t>减少2.58万元，下降17.67%。</w:t>
      </w:r>
      <w:r>
        <w:rPr>
          <w:rFonts w:hint="eastAsia" w:ascii="仿宋" w:hAnsi="仿宋" w:eastAsia="仿宋"/>
          <w:color w:val="auto"/>
          <w:sz w:val="32"/>
          <w:szCs w:val="32"/>
          <w:highlight w:val="none"/>
        </w:rPr>
        <w:t>决算数小于预算数的主要原因是</w:t>
      </w:r>
      <w:r>
        <w:rPr>
          <w:rFonts w:hint="eastAsia" w:ascii="仿宋" w:hAnsi="仿宋" w:eastAsia="仿宋"/>
          <w:color w:val="auto"/>
          <w:sz w:val="32"/>
          <w:szCs w:val="32"/>
          <w:highlight w:val="none"/>
          <w:lang w:val="en-US" w:eastAsia="zh-CN"/>
        </w:rPr>
        <w:t>压减三公经费支出</w:t>
      </w:r>
      <w:r>
        <w:rPr>
          <w:rFonts w:hint="eastAsia" w:ascii="仿宋" w:hAnsi="仿宋" w:eastAsia="仿宋"/>
          <w:color w:val="auto"/>
          <w:sz w:val="32"/>
          <w:szCs w:val="32"/>
          <w:highlight w:val="none"/>
        </w:rPr>
        <w:t>。</w:t>
      </w:r>
    </w:p>
    <w:p>
      <w:pPr>
        <w:spacing w:line="600" w:lineRule="exact"/>
        <w:ind w:firstLine="640"/>
        <w:outlineLvl w:val="2"/>
        <w:rPr>
          <w:rFonts w:ascii="仿宋" w:hAnsi="仿宋" w:eastAsia="仿宋"/>
          <w:b/>
          <w:color w:val="auto"/>
          <w:sz w:val="32"/>
          <w:szCs w:val="32"/>
          <w:highlight w:val="none"/>
        </w:rPr>
      </w:pPr>
      <w:bookmarkStart w:id="57" w:name="_Toc15377217"/>
      <w:r>
        <w:rPr>
          <w:rFonts w:hint="eastAsia" w:ascii="仿宋" w:hAnsi="仿宋" w:eastAsia="仿宋"/>
          <w:b/>
          <w:color w:val="auto"/>
          <w:sz w:val="32"/>
          <w:szCs w:val="32"/>
          <w:highlight w:val="none"/>
        </w:rPr>
        <w:t>（二）“三公”经费财政拨款支出决算具体情况说明</w:t>
      </w:r>
      <w:bookmarkEnd w:id="57"/>
    </w:p>
    <w:p>
      <w:pPr>
        <w:spacing w:line="600" w:lineRule="exact"/>
        <w:ind w:firstLine="640"/>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年“三公”经费财政拨款支出决算中，公务用车购置及运行维护费支出决算</w:t>
      </w:r>
      <w:r>
        <w:rPr>
          <w:rFonts w:hint="eastAsia" w:ascii="仿宋" w:hAnsi="仿宋" w:eastAsia="仿宋"/>
          <w:color w:val="auto"/>
          <w:sz w:val="32"/>
          <w:szCs w:val="32"/>
          <w:highlight w:val="none"/>
          <w:lang w:val="en-US" w:eastAsia="zh-CN"/>
        </w:rPr>
        <w:t>11.69</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97.17</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0.34</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2.83</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pPr>
        <w:spacing w:line="600" w:lineRule="exact"/>
        <w:ind w:firstLine="640"/>
        <w:rPr>
          <w:rFonts w:ascii="仿宋" w:hAnsi="仿宋" w:eastAsia="仿宋"/>
          <w:color w:val="auto"/>
          <w:sz w:val="32"/>
          <w:szCs w:val="32"/>
          <w:highlight w:val="none"/>
        </w:rPr>
      </w:pPr>
      <w:r>
        <w:drawing>
          <wp:anchor distT="0" distB="0" distL="114300" distR="114300" simplePos="0" relativeHeight="251664384" behindDoc="0" locked="0" layoutInCell="1" allowOverlap="1">
            <wp:simplePos x="0" y="0"/>
            <wp:positionH relativeFrom="column">
              <wp:posOffset>46355</wp:posOffset>
            </wp:positionH>
            <wp:positionV relativeFrom="paragraph">
              <wp:posOffset>170815</wp:posOffset>
            </wp:positionV>
            <wp:extent cx="4340860" cy="2926080"/>
            <wp:effectExtent l="4445" t="4445" r="13335" b="10795"/>
            <wp:wrapTopAndBottom/>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hint="eastAsia" w:ascii="仿宋" w:hAnsi="仿宋" w:eastAsia="仿宋"/>
          <w:color w:val="auto"/>
          <w:sz w:val="32"/>
          <w:szCs w:val="32"/>
          <w:highlight w:val="none"/>
        </w:rPr>
        <w:t>（图7：“三公”经费财政拨款支出结构）（饼状图）</w:t>
      </w:r>
    </w:p>
    <w:p>
      <w:pPr>
        <w:spacing w:line="600" w:lineRule="exact"/>
        <w:ind w:firstLine="640"/>
        <w:rPr>
          <w:rFonts w:ascii="仿宋_GB2312" w:eastAsia="仿宋_GB2312"/>
          <w:color w:val="auto"/>
          <w:sz w:val="32"/>
          <w:szCs w:val="32"/>
          <w:highlight w:val="none"/>
        </w:rPr>
      </w:pPr>
      <w:r>
        <w:rPr>
          <w:rFonts w:ascii="仿宋_GB2312" w:eastAsia="仿宋_GB2312"/>
          <w:b/>
          <w:color w:val="auto"/>
          <w:sz w:val="32"/>
          <w:szCs w:val="32"/>
          <w:highlight w:val="none"/>
        </w:rPr>
        <w:t>1.</w:t>
      </w:r>
      <w:r>
        <w:rPr>
          <w:rFonts w:hint="eastAsia" w:ascii="仿宋_GB2312" w:eastAsia="仿宋_GB2312"/>
          <w:b/>
          <w:color w:val="auto"/>
          <w:sz w:val="32"/>
          <w:szCs w:val="32"/>
          <w:highlight w:val="none"/>
        </w:rPr>
        <w:t>因公出国（境）经费支出</w:t>
      </w:r>
      <w:r>
        <w:rPr>
          <w:rFonts w:hint="eastAsia" w:ascii="Times New Roman" w:hAnsi="Times New Roman" w:eastAsia="仿宋_GB2312" w:cs="Times New Roman"/>
          <w:color w:val="auto"/>
          <w:sz w:val="32"/>
          <w:szCs w:val="32"/>
          <w:highlight w:val="none"/>
          <w:lang w:val="en-US" w:eastAsia="zh-CN"/>
        </w:rPr>
        <w:t>0万元，完成预算0%。全年安排因公出国（境）团组0次，出国（境）0人。因公出国（境）支出决算</w:t>
      </w:r>
      <w:r>
        <w:rPr>
          <w:rFonts w:hint="eastAsia" w:eastAsia="仿宋_GB2312" w:cs="Times New Roman"/>
          <w:color w:val="auto"/>
          <w:sz w:val="32"/>
          <w:szCs w:val="32"/>
          <w:highlight w:val="none"/>
          <w:lang w:val="en-US" w:eastAsia="zh-CN"/>
        </w:rPr>
        <w:t>与</w:t>
      </w:r>
      <w:r>
        <w:rPr>
          <w:rFonts w:hint="eastAsia" w:ascii="Times New Roman" w:hAnsi="Times New Roman" w:eastAsia="仿宋_GB2312" w:cs="Times New Roman"/>
          <w:color w:val="auto"/>
          <w:sz w:val="32"/>
          <w:szCs w:val="32"/>
          <w:highlight w:val="none"/>
          <w:lang w:val="en-US" w:eastAsia="zh-CN"/>
        </w:rPr>
        <w:t>2021年</w:t>
      </w:r>
      <w:r>
        <w:rPr>
          <w:rFonts w:hint="eastAsia" w:eastAsia="仿宋_GB2312" w:cs="Times New Roman"/>
          <w:color w:val="auto"/>
          <w:sz w:val="32"/>
          <w:szCs w:val="32"/>
          <w:highlight w:val="none"/>
          <w:lang w:val="en-US" w:eastAsia="zh-CN"/>
        </w:rPr>
        <w:t>持平</w:t>
      </w:r>
      <w:r>
        <w:rPr>
          <w:rFonts w:hint="eastAsia" w:ascii="Times New Roman" w:hAnsi="Times New Roman" w:eastAsia="仿宋_GB2312" w:cs="Times New Roman"/>
          <w:color w:val="auto"/>
          <w:sz w:val="32"/>
          <w:szCs w:val="32"/>
          <w:highlight w:val="none"/>
          <w:lang w:val="en-US" w:eastAsia="zh-CN"/>
        </w:rPr>
        <w:t>。</w:t>
      </w:r>
    </w:p>
    <w:p>
      <w:pPr>
        <w:spacing w:line="600" w:lineRule="exact"/>
        <w:ind w:firstLine="640"/>
        <w:rPr>
          <w:rFonts w:ascii="仿宋_GB2312" w:eastAsia="仿宋_GB2312"/>
          <w:b/>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color w:val="auto"/>
          <w:sz w:val="32"/>
          <w:szCs w:val="32"/>
          <w:highlight w:val="none"/>
          <w:lang w:val="en-US" w:eastAsia="zh-CN"/>
        </w:rPr>
        <w:t>11.69</w:t>
      </w:r>
      <w:r>
        <w:rPr>
          <w:rFonts w:hint="eastAsia" w:ascii="仿宋_GB2312" w:eastAsia="仿宋_GB2312"/>
          <w:color w:val="auto"/>
          <w:sz w:val="32"/>
          <w:szCs w:val="32"/>
          <w:highlight w:val="none"/>
        </w:rPr>
        <w:t>万元,</w:t>
      </w:r>
      <w:r>
        <w:rPr>
          <w:rStyle w:val="16"/>
          <w:rFonts w:hint="eastAsia" w:ascii="仿宋" w:hAnsi="仿宋" w:eastAsia="仿宋"/>
          <w:b w:val="0"/>
          <w:bCs/>
          <w:color w:val="auto"/>
          <w:sz w:val="32"/>
          <w:szCs w:val="32"/>
          <w:highlight w:val="none"/>
        </w:rPr>
        <w:t>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公务用车购置及运行维护费支出决算</w:t>
      </w:r>
      <w:r>
        <w:rPr>
          <w:rFonts w:hint="eastAsia" w:ascii="仿宋_GB2312" w:eastAsia="仿宋_GB2312"/>
          <w:color w:val="auto"/>
          <w:sz w:val="32"/>
          <w:szCs w:val="32"/>
          <w:highlight w:val="none"/>
          <w:lang w:val="en-US" w:eastAsia="zh-CN"/>
        </w:rPr>
        <w:t>与</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持平</w:t>
      </w:r>
      <w:r>
        <w:rPr>
          <w:rFonts w:hint="eastAsia" w:ascii="仿宋_GB2312" w:eastAsia="仿宋_GB2312"/>
          <w:color w:val="auto"/>
          <w:sz w:val="32"/>
          <w:szCs w:val="32"/>
          <w:highlight w:val="none"/>
        </w:rPr>
        <w:t>。</w:t>
      </w:r>
    </w:p>
    <w:p>
      <w:pPr>
        <w:spacing w:line="600" w:lineRule="exact"/>
        <w:ind w:firstLine="640" w:firstLineChars="200"/>
        <w:rPr>
          <w:rFonts w:ascii="仿宋_GB2312" w:eastAsia="仿宋_GB2312"/>
          <w:b/>
          <w:color w:val="auto"/>
          <w:sz w:val="32"/>
          <w:szCs w:val="32"/>
          <w:highlight w:val="none"/>
        </w:rPr>
      </w:pPr>
      <w:r>
        <w:rPr>
          <w:rFonts w:hint="eastAsia" w:ascii="仿宋_GB2312" w:eastAsia="仿宋_GB2312"/>
          <w:color w:val="auto"/>
          <w:sz w:val="32"/>
          <w:szCs w:val="32"/>
          <w:highlight w:val="none"/>
        </w:rPr>
        <w:t>其中：</w:t>
      </w:r>
      <w:r>
        <w:rPr>
          <w:rFonts w:hint="eastAsia" w:ascii="仿宋_GB2312" w:eastAsia="仿宋_GB2312"/>
          <w:b/>
          <w:color w:val="auto"/>
          <w:sz w:val="32"/>
          <w:szCs w:val="32"/>
          <w:highlight w:val="none"/>
        </w:rPr>
        <w:t>公务用车购置支出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万元。全年按规定更新购置公务用车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月底，单位共有公务用车</w:t>
      </w:r>
      <w:r>
        <w:rPr>
          <w:rFonts w:hint="eastAsia" w:ascii="仿宋_GB2312" w:eastAsia="仿宋_GB2312"/>
          <w:color w:val="auto"/>
          <w:sz w:val="32"/>
          <w:szCs w:val="32"/>
          <w:highlight w:val="none"/>
          <w:lang w:val="en-US" w:eastAsia="zh-CN"/>
        </w:rPr>
        <w:t>3</w:t>
      </w:r>
      <w:r>
        <w:rPr>
          <w:rFonts w:hint="eastAsia" w:ascii="仿宋_GB2312" w:eastAsia="仿宋_GB2312"/>
          <w:color w:val="auto"/>
          <w:sz w:val="32"/>
          <w:szCs w:val="32"/>
          <w:highlight w:val="none"/>
        </w:rPr>
        <w:t>辆，其中：轿车</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辆、越野车</w:t>
      </w:r>
      <w:r>
        <w:rPr>
          <w:rFonts w:hint="eastAsia" w:ascii="仿宋_GB2312" w:eastAsia="仿宋_GB2312"/>
          <w:color w:val="auto"/>
          <w:sz w:val="32"/>
          <w:szCs w:val="32"/>
          <w:highlight w:val="none"/>
          <w:lang w:val="en-US" w:eastAsia="zh-CN"/>
        </w:rPr>
        <w:t>2</w:t>
      </w:r>
      <w:r>
        <w:rPr>
          <w:rFonts w:hint="eastAsia" w:ascii="仿宋_GB2312" w:eastAsia="仿宋_GB2312"/>
          <w:color w:val="auto"/>
          <w:sz w:val="32"/>
          <w:szCs w:val="32"/>
          <w:highlight w:val="none"/>
        </w:rPr>
        <w:t>辆。</w:t>
      </w:r>
    </w:p>
    <w:p>
      <w:pPr>
        <w:spacing w:line="600" w:lineRule="exact"/>
        <w:ind w:firstLine="640"/>
        <w:rPr>
          <w:rFonts w:ascii="仿宋_GB2312" w:eastAsia="仿宋_GB2312"/>
          <w:color w:val="auto"/>
          <w:sz w:val="32"/>
          <w:szCs w:val="32"/>
          <w:highlight w:val="none"/>
        </w:rPr>
      </w:pPr>
      <w:r>
        <w:rPr>
          <w:rFonts w:hint="eastAsia" w:ascii="仿宋_GB2312" w:eastAsia="仿宋_GB2312"/>
          <w:b/>
          <w:color w:val="auto"/>
          <w:sz w:val="32"/>
          <w:szCs w:val="32"/>
          <w:highlight w:val="none"/>
        </w:rPr>
        <w:t>公务用车运行维护费支出</w:t>
      </w:r>
      <w:r>
        <w:rPr>
          <w:rFonts w:hint="eastAsia" w:ascii="仿宋_GB2312" w:eastAsia="仿宋_GB2312"/>
          <w:color w:val="auto"/>
          <w:sz w:val="32"/>
          <w:szCs w:val="32"/>
          <w:highlight w:val="none"/>
          <w:lang w:val="en-US" w:eastAsia="zh-CN"/>
        </w:rPr>
        <w:t>11.69</w:t>
      </w:r>
      <w:r>
        <w:rPr>
          <w:rFonts w:hint="eastAsia" w:ascii="仿宋_GB2312" w:eastAsia="仿宋_GB2312"/>
          <w:color w:val="auto"/>
          <w:sz w:val="32"/>
          <w:szCs w:val="32"/>
          <w:highlight w:val="none"/>
        </w:rPr>
        <w:t>万元。主要用于</w:t>
      </w:r>
      <w:r>
        <w:rPr>
          <w:rFonts w:hint="eastAsia" w:ascii="仿宋_GB2312" w:eastAsia="仿宋_GB2312"/>
          <w:color w:val="auto"/>
          <w:sz w:val="32"/>
          <w:szCs w:val="32"/>
          <w:highlight w:val="none"/>
          <w:lang w:val="en-US" w:eastAsia="zh-CN"/>
        </w:rPr>
        <w:t>检验检测</w:t>
      </w:r>
      <w:r>
        <w:rPr>
          <w:rFonts w:hint="eastAsia" w:ascii="仿宋_GB2312" w:eastAsia="仿宋_GB2312"/>
          <w:color w:val="auto"/>
          <w:sz w:val="32"/>
          <w:szCs w:val="32"/>
          <w:highlight w:val="none"/>
        </w:rPr>
        <w:t>等所需的公务用车燃料费、维修费、过路过桥费、保险费等支出。</w:t>
      </w:r>
    </w:p>
    <w:p>
      <w:pPr>
        <w:spacing w:line="600" w:lineRule="exact"/>
        <w:ind w:firstLine="640"/>
        <w:rPr>
          <w:rFonts w:ascii="仿宋_GB2312" w:eastAsia="仿宋_GB2312"/>
          <w:color w:val="auto"/>
          <w:sz w:val="32"/>
          <w:szCs w:val="32"/>
          <w:highlight w:val="none"/>
        </w:rPr>
      </w:pPr>
      <w:r>
        <w:rPr>
          <w:rFonts w:ascii="仿宋_GB2312" w:eastAsia="仿宋_GB2312"/>
          <w:b/>
          <w:color w:val="auto"/>
          <w:sz w:val="32"/>
          <w:szCs w:val="32"/>
          <w:highlight w:val="none"/>
        </w:rPr>
        <w:t>3.</w:t>
      </w: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0.34</w:t>
      </w:r>
      <w:r>
        <w:rPr>
          <w:rFonts w:hint="eastAsia" w:ascii="仿宋_GB2312" w:eastAsia="仿宋_GB2312"/>
          <w:color w:val="auto"/>
          <w:sz w:val="32"/>
          <w:szCs w:val="32"/>
          <w:highlight w:val="none"/>
        </w:rPr>
        <w:t>万元，</w:t>
      </w:r>
      <w:r>
        <w:rPr>
          <w:rStyle w:val="16"/>
          <w:rFonts w:hint="eastAsia" w:ascii="仿宋" w:hAnsi="仿宋" w:eastAsia="仿宋"/>
          <w:b w:val="0"/>
          <w:bCs/>
          <w:color w:val="auto"/>
          <w:sz w:val="32"/>
          <w:szCs w:val="32"/>
          <w:highlight w:val="none"/>
        </w:rPr>
        <w:t>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年减少</w:t>
      </w:r>
      <w:r>
        <w:rPr>
          <w:rFonts w:hint="eastAsia" w:ascii="仿宋_GB2312" w:eastAsia="仿宋_GB2312"/>
          <w:color w:val="auto"/>
          <w:sz w:val="32"/>
          <w:szCs w:val="32"/>
          <w:highlight w:val="none"/>
          <w:lang w:val="en-US" w:eastAsia="zh-CN"/>
        </w:rPr>
        <w:t>2.58</w:t>
      </w:r>
      <w:r>
        <w:rPr>
          <w:rFonts w:hint="eastAsia" w:ascii="仿宋_GB2312" w:eastAsia="仿宋_GB2312"/>
          <w:color w:val="auto"/>
          <w:sz w:val="32"/>
          <w:szCs w:val="32"/>
          <w:highlight w:val="none"/>
        </w:rPr>
        <w:t>万元，下降</w:t>
      </w:r>
      <w:r>
        <w:rPr>
          <w:rFonts w:hint="eastAsia" w:ascii="仿宋_GB2312" w:eastAsia="仿宋_GB2312"/>
          <w:color w:val="auto"/>
          <w:sz w:val="32"/>
          <w:szCs w:val="32"/>
          <w:highlight w:val="none"/>
          <w:lang w:val="en-US" w:eastAsia="zh-CN"/>
        </w:rPr>
        <w:t>88.51</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val="en-US" w:eastAsia="zh-CN"/>
        </w:rPr>
        <w:t>压减三公经费支出</w:t>
      </w:r>
      <w:r>
        <w:rPr>
          <w:rFonts w:hint="eastAsia" w:ascii="仿宋_GB2312" w:eastAsia="仿宋_GB2312"/>
          <w:color w:val="auto"/>
          <w:sz w:val="32"/>
          <w:szCs w:val="32"/>
          <w:highlight w:val="none"/>
        </w:rPr>
        <w:t>。其中：</w:t>
      </w:r>
    </w:p>
    <w:p>
      <w:pPr>
        <w:spacing w:line="600" w:lineRule="exact"/>
        <w:ind w:firstLine="640"/>
        <w:rPr>
          <w:rFonts w:ascii="黑体" w:eastAsia="黑体"/>
          <w:color w:val="auto"/>
          <w:sz w:val="32"/>
          <w:szCs w:val="32"/>
          <w:highlight w:val="none"/>
        </w:rPr>
      </w:pPr>
      <w:r>
        <w:rPr>
          <w:rFonts w:hint="eastAsia" w:ascii="仿宋" w:hAnsi="仿宋" w:eastAsia="仿宋"/>
          <w:b/>
          <w:color w:val="auto"/>
          <w:sz w:val="32"/>
          <w:szCs w:val="32"/>
          <w:highlight w:val="none"/>
        </w:rPr>
        <w:t>国内公务接待支出</w:t>
      </w:r>
      <w:r>
        <w:rPr>
          <w:rFonts w:hint="eastAsia" w:ascii="仿宋" w:hAnsi="仿宋" w:eastAsia="仿宋"/>
          <w:color w:val="auto"/>
          <w:sz w:val="32"/>
          <w:szCs w:val="32"/>
          <w:highlight w:val="none"/>
          <w:lang w:val="en-US" w:eastAsia="zh-CN"/>
        </w:rPr>
        <w:t>0.34</w:t>
      </w:r>
      <w:r>
        <w:rPr>
          <w:rFonts w:hint="eastAsia" w:ascii="仿宋_GB2312" w:eastAsia="仿宋_GB2312"/>
          <w:color w:val="auto"/>
          <w:sz w:val="32"/>
          <w:szCs w:val="32"/>
          <w:highlight w:val="none"/>
        </w:rPr>
        <w:t>万元，主要用于开展业务活动开支的用餐费。国内公务接待</w:t>
      </w:r>
      <w:r>
        <w:rPr>
          <w:rFonts w:hint="eastAsia" w:ascii="仿宋_GB2312" w:eastAsia="仿宋_GB2312"/>
          <w:color w:val="auto"/>
          <w:sz w:val="32"/>
          <w:szCs w:val="32"/>
          <w:highlight w:val="none"/>
          <w:lang w:val="en-US" w:eastAsia="zh-CN"/>
        </w:rPr>
        <w:t>4</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19</w:t>
      </w:r>
      <w:r>
        <w:rPr>
          <w:rFonts w:hint="eastAsia" w:ascii="仿宋_GB2312" w:eastAsia="仿宋_GB2312"/>
          <w:color w:val="auto"/>
          <w:sz w:val="32"/>
          <w:szCs w:val="32"/>
          <w:highlight w:val="none"/>
        </w:rPr>
        <w:t>人次（不包括陪同人员），共计支出</w:t>
      </w:r>
      <w:r>
        <w:rPr>
          <w:rFonts w:hint="eastAsia" w:ascii="仿宋_GB2312" w:eastAsia="仿宋_GB2312"/>
          <w:color w:val="auto"/>
          <w:sz w:val="32"/>
          <w:szCs w:val="32"/>
          <w:highlight w:val="none"/>
          <w:lang w:val="en-US" w:eastAsia="zh-CN"/>
        </w:rPr>
        <w:t>0.34</w:t>
      </w:r>
      <w:r>
        <w:rPr>
          <w:rFonts w:hint="eastAsia" w:ascii="仿宋_GB2312" w:eastAsia="仿宋_GB2312"/>
          <w:color w:val="auto"/>
          <w:sz w:val="32"/>
          <w:szCs w:val="32"/>
          <w:highlight w:val="none"/>
        </w:rPr>
        <w:t>万元，具体内容包括：</w:t>
      </w:r>
      <w:r>
        <w:rPr>
          <w:rFonts w:hint="eastAsia" w:ascii="仿宋_GB2312" w:eastAsia="仿宋_GB2312"/>
          <w:color w:val="auto"/>
          <w:sz w:val="32"/>
          <w:szCs w:val="32"/>
          <w:highlight w:val="none"/>
          <w:lang w:val="en-US" w:eastAsia="zh-CN"/>
        </w:rPr>
        <w:t>3月14日宜宾食药检测中心4人抽样接待费770.00元；4月21日资质认定现场评审专家3人接待费600.00元；10月9日省市监局食品检测机构现场检查7人接待费1,100.00元；10月19日通江市监局5人学习实验室体系建设接待费880.00元</w:t>
      </w:r>
      <w:r>
        <w:rPr>
          <w:rFonts w:hint="eastAsia" w:ascii="仿宋_GB2312" w:eastAsia="仿宋_GB2312"/>
          <w:color w:val="auto"/>
          <w:sz w:val="32"/>
          <w:szCs w:val="32"/>
          <w:highlight w:val="none"/>
        </w:rPr>
        <w:t>。</w:t>
      </w:r>
      <w:bookmarkStart w:id="58" w:name="_Toc15396610"/>
      <w:bookmarkStart w:id="59" w:name="_Toc15377218"/>
    </w:p>
    <w:p>
      <w:pPr>
        <w:spacing w:line="600" w:lineRule="exact"/>
        <w:ind w:firstLine="640"/>
        <w:outlineLvl w:val="1"/>
        <w:rPr>
          <w:rStyle w:val="28"/>
          <w:rFonts w:ascii="黑体" w:hAnsi="黑体" w:eastAsia="黑体"/>
          <w:color w:val="auto"/>
          <w:highlight w:val="none"/>
        </w:rPr>
      </w:pPr>
      <w:bookmarkStart w:id="60" w:name="_Toc6418"/>
      <w:r>
        <w:rPr>
          <w:rFonts w:hint="eastAsia" w:ascii="黑体" w:eastAsia="黑体"/>
          <w:color w:val="auto"/>
          <w:sz w:val="32"/>
          <w:szCs w:val="32"/>
          <w:highlight w:val="none"/>
        </w:rPr>
        <w:t>八、</w:t>
      </w:r>
      <w:r>
        <w:rPr>
          <w:rStyle w:val="28"/>
          <w:rFonts w:hint="eastAsia" w:ascii="黑体" w:hAnsi="黑体" w:eastAsia="黑体"/>
          <w:b w:val="0"/>
          <w:color w:val="auto"/>
          <w:highlight w:val="none"/>
        </w:rPr>
        <w:t>政府性基金预算支出决算情况说明</w:t>
      </w:r>
      <w:bookmarkEnd w:id="58"/>
      <w:bookmarkEnd w:id="59"/>
      <w:bookmarkEnd w:id="60"/>
    </w:p>
    <w:p>
      <w:pPr>
        <w:spacing w:line="600" w:lineRule="exact"/>
        <w:ind w:firstLine="64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pPr>
        <w:spacing w:line="600" w:lineRule="exact"/>
        <w:ind w:firstLine="640"/>
        <w:rPr>
          <w:rFonts w:ascii="仿宋_GB2312" w:eastAsia="仿宋_GB2312"/>
          <w:color w:val="auto"/>
          <w:sz w:val="32"/>
          <w:szCs w:val="32"/>
          <w:highlight w:val="none"/>
        </w:rPr>
      </w:pPr>
    </w:p>
    <w:p>
      <w:pPr>
        <w:numPr>
          <w:ilvl w:val="0"/>
          <w:numId w:val="2"/>
        </w:numPr>
        <w:spacing w:line="600" w:lineRule="exact"/>
        <w:ind w:firstLine="640"/>
        <w:outlineLvl w:val="1"/>
        <w:rPr>
          <w:rStyle w:val="28"/>
          <w:rFonts w:ascii="黑体" w:hAnsi="黑体" w:eastAsia="黑体"/>
          <w:b w:val="0"/>
          <w:color w:val="auto"/>
          <w:highlight w:val="none"/>
        </w:rPr>
      </w:pPr>
      <w:bookmarkStart w:id="61" w:name="_Toc14989"/>
      <w:bookmarkStart w:id="62" w:name="_Toc15396611"/>
      <w:bookmarkStart w:id="63" w:name="_Toc15377219"/>
      <w:r>
        <w:rPr>
          <w:rStyle w:val="28"/>
          <w:rFonts w:hint="eastAsia" w:ascii="黑体" w:hAnsi="黑体" w:eastAsia="黑体"/>
          <w:b w:val="0"/>
          <w:color w:val="auto"/>
          <w:highlight w:val="none"/>
        </w:rPr>
        <w:t>国有资本经营预算支出决算情况说明</w:t>
      </w:r>
      <w:bookmarkEnd w:id="61"/>
      <w:bookmarkEnd w:id="62"/>
      <w:bookmarkEnd w:id="63"/>
    </w:p>
    <w:p>
      <w:pPr>
        <w:spacing w:line="600" w:lineRule="exact"/>
        <w:ind w:firstLine="64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pPr>
        <w:spacing w:line="580" w:lineRule="exact"/>
        <w:jc w:val="center"/>
        <w:rPr>
          <w:rFonts w:ascii="方正小标宋简体" w:hAnsi="方正小标宋简体" w:eastAsia="方正小标宋简体" w:cs="方正小标宋简体"/>
          <w:color w:val="auto"/>
          <w:sz w:val="44"/>
          <w:szCs w:val="44"/>
          <w:highlight w:val="none"/>
        </w:rPr>
      </w:pPr>
    </w:p>
    <w:p>
      <w:pPr>
        <w:numPr>
          <w:ilvl w:val="0"/>
          <w:numId w:val="2"/>
        </w:numPr>
        <w:spacing w:line="600" w:lineRule="exact"/>
        <w:ind w:firstLine="640"/>
        <w:outlineLvl w:val="1"/>
        <w:rPr>
          <w:rStyle w:val="28"/>
          <w:rFonts w:hint="eastAsia" w:ascii="黑体" w:hAnsi="黑体" w:eastAsia="黑体"/>
          <w:b w:val="0"/>
          <w:color w:val="auto"/>
          <w:highlight w:val="none"/>
        </w:rPr>
      </w:pPr>
      <w:bookmarkStart w:id="64" w:name="_Toc15396612"/>
      <w:bookmarkStart w:id="65" w:name="_Toc30716"/>
      <w:bookmarkStart w:id="66" w:name="_Toc15377221"/>
      <w:r>
        <w:rPr>
          <w:rStyle w:val="28"/>
          <w:rFonts w:hint="eastAsia" w:ascii="黑体" w:hAnsi="黑体" w:eastAsia="黑体"/>
          <w:b w:val="0"/>
          <w:color w:val="auto"/>
          <w:highlight w:val="none"/>
        </w:rPr>
        <w:t>其他重要事项的情况说明</w:t>
      </w:r>
      <w:bookmarkEnd w:id="64"/>
      <w:bookmarkEnd w:id="65"/>
      <w:bookmarkEnd w:id="66"/>
    </w:p>
    <w:p>
      <w:pPr>
        <w:spacing w:line="600" w:lineRule="exact"/>
        <w:ind w:firstLine="643" w:firstLineChars="200"/>
        <w:outlineLvl w:val="2"/>
        <w:rPr>
          <w:rFonts w:ascii="仿宋" w:hAnsi="仿宋" w:eastAsia="仿宋"/>
          <w:color w:val="auto"/>
          <w:sz w:val="32"/>
          <w:szCs w:val="32"/>
          <w:highlight w:val="none"/>
        </w:rPr>
      </w:pPr>
      <w:bookmarkStart w:id="67" w:name="_Toc15377222"/>
      <w:r>
        <w:rPr>
          <w:rFonts w:hint="eastAsia" w:ascii="仿宋" w:hAnsi="仿宋" w:eastAsia="仿宋"/>
          <w:b/>
          <w:color w:val="auto"/>
          <w:sz w:val="32"/>
          <w:szCs w:val="32"/>
          <w:highlight w:val="none"/>
        </w:rPr>
        <w:t>（一）机关运行经费支出情况</w:t>
      </w:r>
      <w:bookmarkEnd w:id="67"/>
    </w:p>
    <w:p>
      <w:pPr>
        <w:spacing w:line="600" w:lineRule="exact"/>
        <w:ind w:firstLine="640" w:firstLineChars="200"/>
        <w:rPr>
          <w:rFonts w:hint="eastAsia" w:ascii="仿宋_GB2312" w:eastAsia="仿宋_GB2312"/>
          <w:color w:val="auto"/>
          <w:sz w:val="32"/>
          <w:szCs w:val="32"/>
          <w:highlight w:val="none"/>
          <w:lang w:eastAsia="zh-CN"/>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巴中市产品质量检验检测中心无</w:t>
      </w:r>
      <w:r>
        <w:rPr>
          <w:rFonts w:hint="eastAsia" w:ascii="仿宋_GB2312" w:eastAsia="仿宋_GB2312"/>
          <w:color w:val="auto"/>
          <w:sz w:val="32"/>
          <w:szCs w:val="32"/>
          <w:highlight w:val="none"/>
        </w:rPr>
        <w:t>机关运行经费</w:t>
      </w:r>
      <w:r>
        <w:rPr>
          <w:rFonts w:hint="eastAsia" w:ascii="仿宋_GB2312" w:eastAsia="仿宋_GB2312"/>
          <w:color w:val="auto"/>
          <w:sz w:val="32"/>
          <w:szCs w:val="32"/>
          <w:highlight w:val="none"/>
          <w:lang w:eastAsia="zh-CN"/>
        </w:rPr>
        <w:t>。</w:t>
      </w:r>
    </w:p>
    <w:p>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68" w:name="_Toc15377223"/>
      <w:r>
        <w:rPr>
          <w:rFonts w:hint="eastAsia" w:ascii="仿宋" w:hAnsi="仿宋" w:eastAsia="仿宋"/>
          <w:b/>
          <w:color w:val="auto"/>
          <w:sz w:val="32"/>
          <w:szCs w:val="32"/>
          <w:highlight w:val="none"/>
        </w:rPr>
        <w:t>（二）政府采购支出情况</w:t>
      </w:r>
      <w:bookmarkEnd w:id="68"/>
    </w:p>
    <w:p>
      <w:pPr>
        <w:spacing w:line="60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年，巴中市产品质量检验检测中心政府采购支出总额</w:t>
      </w:r>
      <w:r>
        <w:rPr>
          <w:rFonts w:hint="eastAsia" w:ascii="仿宋_GB2312" w:eastAsia="仿宋_GB2312"/>
          <w:color w:val="auto"/>
          <w:sz w:val="32"/>
          <w:szCs w:val="32"/>
          <w:highlight w:val="none"/>
          <w:lang w:val="en-US" w:eastAsia="zh-CN"/>
        </w:rPr>
        <w:t>110.66</w:t>
      </w:r>
      <w:r>
        <w:rPr>
          <w:rFonts w:hint="eastAsia" w:ascii="仿宋_GB2312" w:eastAsia="仿宋_GB2312"/>
          <w:color w:val="auto"/>
          <w:sz w:val="32"/>
          <w:szCs w:val="32"/>
          <w:highlight w:val="none"/>
        </w:rPr>
        <w:t>万元，其中：政府采购货物支出</w:t>
      </w:r>
      <w:r>
        <w:rPr>
          <w:rFonts w:hint="eastAsia" w:ascii="仿宋_GB2312" w:eastAsia="仿宋_GB2312"/>
          <w:color w:val="auto"/>
          <w:sz w:val="32"/>
          <w:szCs w:val="32"/>
          <w:highlight w:val="none"/>
          <w:lang w:val="en-US" w:eastAsia="zh-CN"/>
        </w:rPr>
        <w:t>110.66</w:t>
      </w:r>
      <w:r>
        <w:rPr>
          <w:rFonts w:hint="eastAsia" w:ascii="仿宋_GB2312" w:eastAsia="仿宋_GB2312"/>
          <w:color w:val="auto"/>
          <w:sz w:val="32"/>
          <w:szCs w:val="32"/>
          <w:highlight w:val="none"/>
        </w:rPr>
        <w:t>万元、政府采购工程支出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万元、政府采购服务支出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万元。主要用于</w:t>
      </w:r>
      <w:r>
        <w:rPr>
          <w:rFonts w:hint="eastAsia" w:ascii="仿宋_GB2312" w:eastAsia="仿宋_GB2312"/>
          <w:color w:val="auto"/>
          <w:sz w:val="32"/>
          <w:szCs w:val="32"/>
          <w:highlight w:val="none"/>
          <w:lang w:val="en-US" w:eastAsia="zh-CN"/>
        </w:rPr>
        <w:t>重点实验室设备采购</w:t>
      </w:r>
      <w:r>
        <w:rPr>
          <w:rFonts w:hint="eastAsia" w:ascii="仿宋_GB2312" w:eastAsia="仿宋_GB2312"/>
          <w:color w:val="auto"/>
          <w:sz w:val="32"/>
          <w:szCs w:val="32"/>
          <w:highlight w:val="none"/>
        </w:rPr>
        <w:t>。授予中小企业合同金额</w:t>
      </w:r>
      <w:r>
        <w:rPr>
          <w:rFonts w:hint="eastAsia" w:ascii="仿宋_GB2312" w:eastAsia="仿宋_GB2312"/>
          <w:color w:val="auto"/>
          <w:sz w:val="32"/>
          <w:szCs w:val="32"/>
          <w:highlight w:val="none"/>
          <w:lang w:val="en-US" w:eastAsia="zh-CN"/>
        </w:rPr>
        <w:t>110.66</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100.00</w:t>
      </w:r>
      <w:r>
        <w:rPr>
          <w:rFonts w:ascii="仿宋_GB2312" w:eastAsia="仿宋_GB2312"/>
          <w:color w:val="auto"/>
          <w:sz w:val="32"/>
          <w:szCs w:val="32"/>
          <w:highlight w:val="none"/>
        </w:rPr>
        <w:t>%</w:t>
      </w:r>
      <w:r>
        <w:rPr>
          <w:rFonts w:hint="eastAsia" w:ascii="仿宋_GB2312" w:eastAsia="仿宋_GB2312"/>
          <w:color w:val="auto"/>
          <w:sz w:val="32"/>
          <w:szCs w:val="32"/>
          <w:highlight w:val="none"/>
        </w:rPr>
        <w:t>，其中：授予小微企业合同金额</w:t>
      </w:r>
      <w:r>
        <w:rPr>
          <w:rFonts w:hint="eastAsia" w:ascii="仿宋_GB2312" w:eastAsia="仿宋_GB2312"/>
          <w:color w:val="auto"/>
          <w:sz w:val="32"/>
          <w:szCs w:val="32"/>
          <w:highlight w:val="none"/>
          <w:lang w:val="en-US" w:eastAsia="zh-CN"/>
        </w:rPr>
        <w:t>110.66</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100.00</w:t>
      </w:r>
      <w:r>
        <w:rPr>
          <w:rFonts w:ascii="仿宋_GB2312" w:eastAsia="仿宋_GB2312"/>
          <w:color w:val="auto"/>
          <w:sz w:val="32"/>
          <w:szCs w:val="32"/>
          <w:highlight w:val="none"/>
        </w:rPr>
        <w:t>%</w:t>
      </w:r>
      <w:r>
        <w:rPr>
          <w:rFonts w:hint="eastAsia" w:ascii="仿宋_GB2312" w:eastAsia="仿宋_GB2312"/>
          <w:color w:val="auto"/>
          <w:sz w:val="32"/>
          <w:szCs w:val="32"/>
          <w:highlight w:val="none"/>
        </w:rPr>
        <w:t>。</w:t>
      </w:r>
    </w:p>
    <w:p>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69" w:name="_Toc15377224"/>
      <w:r>
        <w:rPr>
          <w:rFonts w:hint="eastAsia" w:ascii="仿宋" w:hAnsi="仿宋" w:eastAsia="仿宋"/>
          <w:b/>
          <w:color w:val="auto"/>
          <w:sz w:val="32"/>
          <w:szCs w:val="32"/>
          <w:highlight w:val="none"/>
        </w:rPr>
        <w:t>（三）国有资产占有使用情况</w:t>
      </w:r>
      <w:bookmarkEnd w:id="69"/>
    </w:p>
    <w:p>
      <w:pPr>
        <w:autoSpaceDE w:val="0"/>
        <w:autoSpaceDN w:val="0"/>
        <w:adjustRightInd w:val="0"/>
        <w:spacing w:line="600" w:lineRule="exact"/>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val="en-US" w:eastAsia="zh-CN"/>
        </w:rPr>
        <w:t>巴中市产品质量检验检测中心</w:t>
      </w:r>
      <w:r>
        <w:rPr>
          <w:rFonts w:hint="eastAsia" w:ascii="仿宋_GB2312" w:eastAsia="仿宋_GB2312"/>
          <w:color w:val="auto"/>
          <w:sz w:val="32"/>
          <w:szCs w:val="32"/>
          <w:highlight w:val="none"/>
        </w:rPr>
        <w:t>共有车辆</w:t>
      </w:r>
      <w:r>
        <w:rPr>
          <w:rFonts w:hint="eastAsia" w:ascii="仿宋_GB2312" w:eastAsia="仿宋_GB2312"/>
          <w:color w:val="auto"/>
          <w:sz w:val="32"/>
          <w:szCs w:val="32"/>
          <w:highlight w:val="none"/>
          <w:lang w:val="en-US" w:eastAsia="zh-CN"/>
        </w:rPr>
        <w:t>3</w:t>
      </w:r>
      <w:r>
        <w:rPr>
          <w:rFonts w:hint="eastAsia" w:ascii="仿宋_GB2312" w:eastAsia="仿宋_GB2312"/>
          <w:color w:val="auto"/>
          <w:sz w:val="32"/>
          <w:szCs w:val="32"/>
          <w:highlight w:val="none"/>
        </w:rPr>
        <w:t>辆，其中：其他用车</w:t>
      </w:r>
      <w:r>
        <w:rPr>
          <w:rFonts w:hint="eastAsia" w:ascii="仿宋_GB2312" w:eastAsia="仿宋_GB2312"/>
          <w:color w:val="auto"/>
          <w:sz w:val="32"/>
          <w:szCs w:val="32"/>
          <w:highlight w:val="none"/>
          <w:lang w:val="en-US" w:eastAsia="zh-CN"/>
        </w:rPr>
        <w:t>3</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其他用车主要是用于</w:t>
      </w:r>
      <w:r>
        <w:rPr>
          <w:rFonts w:hint="eastAsia" w:ascii="仿宋_GB2312" w:eastAsia="仿宋_GB2312"/>
          <w:color w:val="auto"/>
          <w:sz w:val="32"/>
          <w:szCs w:val="32"/>
          <w:highlight w:val="none"/>
          <w:lang w:val="en-US" w:eastAsia="zh-CN"/>
        </w:rPr>
        <w:t>检验检测</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万元以上专用设备</w:t>
      </w:r>
      <w:r>
        <w:rPr>
          <w:rFonts w:hint="eastAsia" w:ascii="仿宋_GB2312" w:eastAsia="仿宋_GB2312"/>
          <w:color w:val="auto"/>
          <w:sz w:val="32"/>
          <w:szCs w:val="32"/>
          <w:highlight w:val="none"/>
          <w:lang w:val="en-US" w:eastAsia="zh-CN"/>
        </w:rPr>
        <w:t>8</w:t>
      </w:r>
      <w:r>
        <w:rPr>
          <w:rFonts w:hint="eastAsia" w:ascii="仿宋_GB2312" w:eastAsia="仿宋_GB2312"/>
          <w:color w:val="auto"/>
          <w:sz w:val="32"/>
          <w:szCs w:val="32"/>
          <w:highlight w:val="none"/>
        </w:rPr>
        <w:t>台（套）。</w:t>
      </w:r>
    </w:p>
    <w:p>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（四）预算绩效管理情况</w:t>
      </w:r>
    </w:p>
    <w:p>
      <w:pPr>
        <w:widowControl/>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根据预算绩效管理要求，本部门在202</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年度预算编制阶段，组织对省级药品监管专项经费等</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个项目开展了预算事前绩效评估，对</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个项目编制了绩效目标，预算执行过程中，选取</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个项目开展绩效监控。</w:t>
      </w:r>
    </w:p>
    <w:p>
      <w:pPr>
        <w:widowControl/>
        <w:ind w:firstLine="640" w:firstLineChars="200"/>
        <w:jc w:val="left"/>
        <w:rPr>
          <w:rFonts w:ascii="仿宋_GB2312" w:eastAsia="仿宋_GB2312"/>
          <w:b/>
          <w:color w:val="auto"/>
          <w:sz w:val="32"/>
          <w:szCs w:val="32"/>
          <w:highlight w:val="none"/>
        </w:rPr>
      </w:pPr>
      <w:r>
        <w:rPr>
          <w:rFonts w:hint="eastAsia" w:ascii="仿宋_GB2312" w:hAnsi="仿宋_GB2312" w:eastAsia="仿宋_GB2312" w:cs="仿宋_GB2312"/>
          <w:color w:val="auto"/>
          <w:sz w:val="32"/>
          <w:szCs w:val="32"/>
          <w:highlight w:val="none"/>
        </w:rPr>
        <w:t>组织对2022年度一般公共预算开展绩效自评，形成</w:t>
      </w:r>
      <w:r>
        <w:rPr>
          <w:rFonts w:hint="eastAsia" w:ascii="仿宋_GB2312" w:hAnsi="仿宋_GB2312" w:eastAsia="仿宋_GB2312" w:cs="仿宋_GB2312"/>
          <w:color w:val="auto"/>
          <w:sz w:val="32"/>
          <w:szCs w:val="32"/>
          <w:highlight w:val="none"/>
          <w:lang w:val="en-US" w:eastAsia="zh-CN"/>
        </w:rPr>
        <w:t>巴中市产品质量检验检测中心</w:t>
      </w:r>
      <w:r>
        <w:rPr>
          <w:rFonts w:hint="eastAsia" w:ascii="仿宋_GB2312" w:hAnsi="仿宋_GB2312" w:eastAsia="仿宋_GB2312" w:cs="仿宋_GB2312"/>
          <w:color w:val="auto"/>
          <w:sz w:val="32"/>
          <w:szCs w:val="32"/>
          <w:highlight w:val="none"/>
        </w:rPr>
        <w:t>部门整体绩效自评报告</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其中，巴中市产品质量检验检测中心部门整体（含部门预算项目）绩效自评得分为</w:t>
      </w:r>
      <w:r>
        <w:rPr>
          <w:rFonts w:hint="eastAsia" w:ascii="仿宋_GB2312" w:hAnsi="仿宋_GB2312" w:eastAsia="仿宋_GB2312" w:cs="仿宋_GB2312"/>
          <w:color w:val="auto"/>
          <w:sz w:val="32"/>
          <w:szCs w:val="32"/>
          <w:highlight w:val="none"/>
          <w:lang w:val="en-US" w:eastAsia="zh-CN"/>
        </w:rPr>
        <w:t>90</w:t>
      </w:r>
      <w:r>
        <w:rPr>
          <w:rFonts w:hint="eastAsia" w:ascii="仿宋_GB2312" w:hAnsi="仿宋_GB2312" w:eastAsia="仿宋_GB2312" w:cs="仿宋_GB2312"/>
          <w:color w:val="auto"/>
          <w:sz w:val="32"/>
          <w:szCs w:val="32"/>
          <w:highlight w:val="none"/>
        </w:rPr>
        <w:t>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绩效自评报告详见附件。</w:t>
      </w:r>
    </w:p>
    <w:p>
      <w:pPr>
        <w:numPr>
          <w:ilvl w:val="0"/>
          <w:numId w:val="3"/>
        </w:numPr>
        <w:spacing w:line="600" w:lineRule="exact"/>
        <w:ind w:firstLine="660" w:firstLineChars="150"/>
        <w:jc w:val="center"/>
        <w:outlineLvl w:val="0"/>
        <w:rPr>
          <w:rStyle w:val="27"/>
          <w:rFonts w:ascii="黑体" w:hAnsi="黑体" w:eastAsia="黑体"/>
          <w:b w:val="0"/>
          <w:color w:val="auto"/>
          <w:highlight w:val="none"/>
        </w:rPr>
      </w:pPr>
      <w:bookmarkStart w:id="70" w:name="_Toc15377225"/>
      <w:bookmarkStart w:id="71" w:name="_Toc15396613"/>
      <w:bookmarkStart w:id="72" w:name="_Toc23740"/>
      <w:r>
        <w:rPr>
          <w:rFonts w:hint="eastAsia" w:ascii="黑体" w:hAnsi="黑体" w:eastAsia="黑体"/>
          <w:color w:val="auto"/>
          <w:sz w:val="44"/>
          <w:szCs w:val="44"/>
          <w:highlight w:val="none"/>
        </w:rPr>
        <w:t>名</w:t>
      </w:r>
      <w:r>
        <w:rPr>
          <w:rStyle w:val="27"/>
          <w:rFonts w:hint="eastAsia" w:ascii="黑体" w:hAnsi="黑体" w:eastAsia="黑体"/>
          <w:b w:val="0"/>
          <w:color w:val="auto"/>
          <w:highlight w:val="none"/>
        </w:rPr>
        <w:t>词解释</w:t>
      </w:r>
      <w:bookmarkEnd w:id="70"/>
      <w:bookmarkEnd w:id="71"/>
      <w:bookmarkEnd w:id="72"/>
    </w:p>
    <w:p>
      <w:pPr>
        <w:spacing w:line="600" w:lineRule="exact"/>
        <w:jc w:val="left"/>
        <w:rPr>
          <w:rFonts w:ascii="宋体"/>
          <w:b/>
          <w:color w:val="auto"/>
          <w:sz w:val="44"/>
          <w:szCs w:val="44"/>
          <w:highlight w:val="none"/>
        </w:rPr>
      </w:pPr>
    </w:p>
    <w:p>
      <w:pPr>
        <w:pStyle w:val="25"/>
        <w:spacing w:line="560" w:lineRule="exact"/>
        <w:ind w:firstLine="640" w:firstLineChars="200"/>
        <w:jc w:val="both"/>
        <w:rPr>
          <w:rFonts w:ascii="仿宋_GB2312" w:eastAsia="仿宋_GB2312"/>
          <w:color w:val="auto"/>
          <w:sz w:val="32"/>
          <w:szCs w:val="32"/>
        </w:rPr>
      </w:pPr>
      <w:bookmarkStart w:id="73" w:name="_Toc15377226"/>
      <w:r>
        <w:rPr>
          <w:rFonts w:ascii="仿宋_GB2312" w:eastAsia="仿宋_GB2312"/>
          <w:color w:val="auto"/>
          <w:sz w:val="32"/>
          <w:szCs w:val="32"/>
        </w:rPr>
        <w:t>1.</w:t>
      </w:r>
      <w:r>
        <w:rPr>
          <w:rFonts w:hint="eastAsia" w:ascii="仿宋_GB2312" w:eastAsia="仿宋_GB2312"/>
          <w:color w:val="auto"/>
          <w:sz w:val="32"/>
          <w:szCs w:val="32"/>
        </w:rPr>
        <w:t>财政拨款收入：指单位从同级财政部门取得的财政预算资金。</w:t>
      </w:r>
    </w:p>
    <w:p>
      <w:pPr>
        <w:pStyle w:val="25"/>
        <w:spacing w:line="560" w:lineRule="exact"/>
        <w:ind w:firstLine="640" w:firstLineChars="200"/>
        <w:jc w:val="both"/>
        <w:rPr>
          <w:rFonts w:ascii="仿宋_GB2312" w:eastAsia="仿宋_GB2312"/>
          <w:color w:val="auto"/>
          <w:sz w:val="32"/>
          <w:szCs w:val="32"/>
        </w:rPr>
      </w:pPr>
      <w:r>
        <w:rPr>
          <w:rFonts w:hint="eastAsia" w:ascii="仿宋_GB2312" w:eastAsia="仿宋_GB2312"/>
          <w:color w:val="auto"/>
          <w:sz w:val="32"/>
          <w:szCs w:val="32"/>
          <w:lang w:val="en-US" w:eastAsia="zh-CN"/>
        </w:rPr>
        <w:t>2</w:t>
      </w:r>
      <w:r>
        <w:rPr>
          <w:rFonts w:ascii="仿宋_GB2312" w:eastAsia="仿宋_GB2312"/>
          <w:color w:val="auto"/>
          <w:sz w:val="32"/>
          <w:szCs w:val="32"/>
        </w:rPr>
        <w:t>.</w:t>
      </w:r>
      <w:r>
        <w:rPr>
          <w:rFonts w:hint="eastAsia" w:ascii="仿宋_GB2312" w:eastAsia="仿宋_GB2312"/>
          <w:color w:val="auto"/>
          <w:sz w:val="32"/>
          <w:szCs w:val="32"/>
        </w:rPr>
        <w:t>年初结转和结余：指以前年度尚未完成、结转到本年按有关规定继续使用的资金。</w:t>
      </w:r>
      <w:r>
        <w:rPr>
          <w:rFonts w:ascii="仿宋_GB2312" w:eastAsia="仿宋_GB2312"/>
          <w:color w:val="auto"/>
          <w:sz w:val="32"/>
          <w:szCs w:val="32"/>
        </w:rPr>
        <w:t xml:space="preserve"> </w:t>
      </w:r>
    </w:p>
    <w:p>
      <w:pPr>
        <w:pStyle w:val="25"/>
        <w:spacing w:line="560" w:lineRule="exact"/>
        <w:ind w:firstLine="640" w:firstLineChars="200"/>
        <w:jc w:val="both"/>
        <w:rPr>
          <w:rFonts w:ascii="仿宋_GB2312" w:eastAsia="仿宋_GB2312"/>
          <w:color w:val="auto"/>
          <w:sz w:val="32"/>
          <w:szCs w:val="32"/>
        </w:rPr>
      </w:pPr>
      <w:r>
        <w:rPr>
          <w:rFonts w:hint="eastAsia" w:ascii="仿宋_GB2312" w:eastAsia="仿宋_GB2312"/>
          <w:color w:val="auto"/>
          <w:sz w:val="32"/>
          <w:szCs w:val="32"/>
          <w:lang w:val="en-US" w:eastAsia="zh-CN"/>
        </w:rPr>
        <w:t>3.</w:t>
      </w:r>
      <w:r>
        <w:rPr>
          <w:rFonts w:hint="eastAsia" w:ascii="仿宋_GB2312" w:eastAsia="仿宋_GB2312"/>
          <w:color w:val="auto"/>
          <w:sz w:val="32"/>
          <w:szCs w:val="32"/>
        </w:rPr>
        <w:t>年末结转和结余：指单位按有关规定结转到下年或以后年度继续使用的资金。</w:t>
      </w:r>
    </w:p>
    <w:p>
      <w:pPr>
        <w:ind w:firstLine="640" w:firstLineChars="200"/>
        <w:jc w:val="both"/>
        <w:rPr>
          <w:rFonts w:hint="eastAsia" w:ascii="仿宋_GB2312" w:hAnsi="仿宋_GB2312" w:eastAsia="仿宋_GB2312" w:cs="仿宋_GB2312"/>
          <w:sz w:val="32"/>
          <w:szCs w:val="32"/>
        </w:rPr>
      </w:pPr>
      <w:r>
        <w:rPr>
          <w:rFonts w:hint="eastAsia" w:ascii="仿宋_GB2312" w:eastAsia="仿宋_GB2312"/>
          <w:sz w:val="32"/>
          <w:szCs w:val="32"/>
          <w:lang w:val="en-US" w:eastAsia="zh-CN"/>
        </w:rPr>
        <w:t>4.</w:t>
      </w:r>
      <w:r>
        <w:rPr>
          <w:rFonts w:hint="eastAsia" w:ascii="仿宋_GB2312" w:eastAsia="仿宋_GB2312"/>
          <w:sz w:val="32"/>
          <w:szCs w:val="32"/>
        </w:rPr>
        <w:t>一般公共服务（类）市场监督管理事务（款）一般行政管理事务（项）:</w:t>
      </w:r>
      <w:r>
        <w:rPr>
          <w:rFonts w:hint="eastAsia" w:ascii="仿宋_GB2312" w:hAnsi="仿宋_GB2312" w:eastAsia="仿宋_GB2312" w:cs="仿宋_GB2312"/>
          <w:sz w:val="32"/>
          <w:szCs w:val="32"/>
        </w:rPr>
        <w:t>指反映行政单位（包括实行公务员管理的事业单位）未单独设置项级科目的其他项目支出。</w:t>
      </w:r>
    </w:p>
    <w:p>
      <w:pPr>
        <w:pStyle w:val="5"/>
        <w:ind w:firstLine="600" w:firstLineChars="200"/>
        <w:jc w:val="both"/>
        <w:rPr>
          <w:rFonts w:hint="default" w:eastAsia="仿宋_GB2312"/>
          <w:lang w:val="en-US" w:eastAsia="zh-CN"/>
        </w:rPr>
      </w:pPr>
      <w:r>
        <w:rPr>
          <w:rFonts w:hint="eastAsia"/>
          <w:lang w:val="en-US" w:eastAsia="zh-CN"/>
        </w:rPr>
        <w:t>5.</w:t>
      </w:r>
      <w:r>
        <w:rPr>
          <w:rFonts w:hint="eastAsia" w:ascii="仿宋_GB2312" w:eastAsia="仿宋_GB2312"/>
          <w:sz w:val="32"/>
          <w:szCs w:val="32"/>
        </w:rPr>
        <w:t>一般公共服务（类）市场监督管理事务（款）</w:t>
      </w:r>
      <w:r>
        <w:rPr>
          <w:rFonts w:hint="eastAsia"/>
          <w:sz w:val="32"/>
          <w:szCs w:val="32"/>
          <w:lang w:eastAsia="zh-CN"/>
        </w:rPr>
        <w:t>事业运行</w:t>
      </w:r>
      <w:r>
        <w:rPr>
          <w:rFonts w:hint="eastAsia" w:ascii="仿宋_GB2312" w:eastAsia="仿宋_GB2312"/>
          <w:sz w:val="32"/>
          <w:szCs w:val="32"/>
        </w:rPr>
        <w:t>（项）:</w:t>
      </w:r>
      <w:r>
        <w:rPr>
          <w:rFonts w:hint="eastAsia" w:ascii="仿宋_GB2312" w:hAnsi="Times New Roman" w:eastAsia="仿宋_GB2312" w:cs="Times New Roman"/>
          <w:kern w:val="2"/>
          <w:sz w:val="32"/>
          <w:szCs w:val="32"/>
          <w:lang w:val="en-US" w:eastAsia="zh-CN" w:bidi="ar-SA"/>
        </w:rPr>
        <w:t>指反映事业单位的基本支出，不包括行政单位（包括实行公务员管理的事业单位）后勤服务中心、医务室等附属事业单位。</w:t>
      </w:r>
    </w:p>
    <w:p>
      <w:pPr>
        <w:ind w:firstLine="640" w:firstLineChars="200"/>
        <w:jc w:val="both"/>
        <w:rPr>
          <w:rFonts w:ascii="仿宋_GB2312" w:eastAsia="仿宋_GB2312"/>
          <w:sz w:val="32"/>
          <w:szCs w:val="32"/>
        </w:rPr>
      </w:pPr>
      <w:r>
        <w:rPr>
          <w:rFonts w:hint="eastAsia" w:ascii="仿宋_GB2312" w:eastAsia="仿宋_GB2312"/>
          <w:sz w:val="32"/>
          <w:szCs w:val="32"/>
          <w:lang w:val="en-US" w:eastAsia="zh-CN"/>
        </w:rPr>
        <w:t>6.</w:t>
      </w:r>
      <w:r>
        <w:rPr>
          <w:rFonts w:hint="eastAsia" w:ascii="仿宋_GB2312" w:eastAsia="仿宋_GB2312"/>
          <w:sz w:val="32"/>
          <w:szCs w:val="32"/>
        </w:rPr>
        <w:t>一般公共服务（类）市场监督管理事务（款）其他市场监督管理事务（项）:指</w:t>
      </w:r>
      <w:r>
        <w:rPr>
          <w:rFonts w:hint="eastAsia" w:ascii="仿宋_GB2312" w:hAnsi="仿宋_GB2312" w:eastAsia="仿宋_GB2312" w:cs="仿宋_GB2312"/>
          <w:sz w:val="32"/>
          <w:szCs w:val="32"/>
        </w:rPr>
        <w:t>反映用于除上述项目以外其他市场监督管理</w:t>
      </w:r>
      <w:r>
        <w:rPr>
          <w:rFonts w:hint="eastAsia" w:ascii="仿宋_GB2312" w:hAnsi="仿宋_GB2312" w:eastAsia="仿宋_GB2312" w:cs="仿宋_GB2312"/>
          <w:sz w:val="30"/>
          <w:szCs w:val="30"/>
        </w:rPr>
        <w:t>事务方面的支出</w:t>
      </w:r>
      <w:r>
        <w:rPr>
          <w:rFonts w:hint="eastAsia" w:ascii="仿宋_GB2312" w:eastAsia="仿宋_GB2312"/>
          <w:sz w:val="32"/>
          <w:szCs w:val="32"/>
        </w:rPr>
        <w:t>。</w:t>
      </w:r>
    </w:p>
    <w:p>
      <w:pPr>
        <w:ind w:firstLine="640" w:firstLineChars="200"/>
        <w:jc w:val="both"/>
        <w:rPr>
          <w:rFonts w:ascii="仿宋_GB2312" w:eastAsia="仿宋_GB2312"/>
          <w:sz w:val="32"/>
          <w:szCs w:val="32"/>
        </w:rPr>
      </w:pPr>
      <w:r>
        <w:rPr>
          <w:rFonts w:hint="eastAsia" w:ascii="仿宋_GB2312" w:eastAsia="仿宋_GB2312"/>
          <w:sz w:val="32"/>
          <w:szCs w:val="32"/>
          <w:lang w:val="en-US" w:eastAsia="zh-CN"/>
        </w:rPr>
        <w:t>7.</w:t>
      </w:r>
      <w:r>
        <w:rPr>
          <w:rFonts w:hint="eastAsia" w:ascii="仿宋_GB2312" w:eastAsia="仿宋_GB2312"/>
          <w:sz w:val="32"/>
          <w:szCs w:val="32"/>
        </w:rPr>
        <w:t>社会保障和就业（类）行政事业单位养老支出（款）事业单位离退休（项）:</w:t>
      </w:r>
      <w:r>
        <w:rPr>
          <w:rFonts w:hint="eastAsia" w:ascii="仿宋_GB2312" w:hAnsi="仿宋_GB2312" w:eastAsia="仿宋_GB2312" w:cs="仿宋_GB2312"/>
          <w:sz w:val="32"/>
          <w:szCs w:val="32"/>
        </w:rPr>
        <w:t>指反映事业单位养老方面离的支出</w:t>
      </w:r>
      <w:r>
        <w:rPr>
          <w:rFonts w:hint="eastAsia" w:ascii="仿宋_GB2312" w:eastAsia="仿宋_GB2312"/>
          <w:sz w:val="32"/>
          <w:szCs w:val="32"/>
        </w:rPr>
        <w:t>。</w:t>
      </w:r>
    </w:p>
    <w:p>
      <w:pPr>
        <w:ind w:firstLine="640" w:firstLineChars="200"/>
        <w:jc w:val="both"/>
        <w:rPr>
          <w:rFonts w:ascii="仿宋_GB2312" w:eastAsia="仿宋_GB2312"/>
          <w:sz w:val="32"/>
          <w:szCs w:val="32"/>
        </w:rPr>
      </w:pPr>
      <w:r>
        <w:rPr>
          <w:rFonts w:hint="eastAsia" w:ascii="仿宋_GB2312" w:eastAsia="仿宋_GB2312"/>
          <w:sz w:val="32"/>
          <w:szCs w:val="32"/>
          <w:lang w:val="en-US" w:eastAsia="zh-CN"/>
        </w:rPr>
        <w:t>8.</w:t>
      </w:r>
      <w:r>
        <w:rPr>
          <w:rFonts w:hint="eastAsia" w:ascii="仿宋_GB2312" w:eastAsia="仿宋_GB2312"/>
          <w:sz w:val="32"/>
          <w:szCs w:val="32"/>
        </w:rPr>
        <w:t>社会保障和就业（类）行政事业单位养老支出（款）机关事业单位基本养老保险缴费支出（项）:</w:t>
      </w:r>
      <w:r>
        <w:rPr>
          <w:rFonts w:hint="eastAsia" w:ascii="仿宋_GB2312" w:hAnsi="仿宋_GB2312" w:eastAsia="仿宋_GB2312" w:cs="仿宋_GB2312"/>
          <w:sz w:val="32"/>
          <w:szCs w:val="32"/>
        </w:rPr>
        <w:t>指反映机关事业单位实施养老保险制度由单位缴纳的基本养老保险费支出</w:t>
      </w:r>
      <w:r>
        <w:rPr>
          <w:rFonts w:hint="eastAsia" w:ascii="仿宋_GB2312" w:eastAsia="仿宋_GB2312"/>
          <w:sz w:val="32"/>
          <w:szCs w:val="32"/>
        </w:rPr>
        <w:t>。</w:t>
      </w:r>
    </w:p>
    <w:p>
      <w:pPr>
        <w:ind w:firstLine="640" w:firstLineChars="200"/>
        <w:jc w:val="both"/>
        <w:rPr>
          <w:rFonts w:ascii="仿宋_GB2312" w:eastAsia="仿宋_GB2312"/>
          <w:sz w:val="32"/>
          <w:szCs w:val="32"/>
        </w:rPr>
      </w:pPr>
      <w:r>
        <w:rPr>
          <w:rFonts w:hint="eastAsia" w:ascii="仿宋_GB2312" w:eastAsia="仿宋_GB2312"/>
          <w:sz w:val="32"/>
          <w:szCs w:val="32"/>
          <w:lang w:val="en-US" w:eastAsia="zh-CN"/>
        </w:rPr>
        <w:t>9.</w:t>
      </w:r>
      <w:r>
        <w:rPr>
          <w:rFonts w:hint="eastAsia" w:ascii="仿宋_GB2312" w:eastAsia="仿宋_GB2312"/>
          <w:sz w:val="32"/>
          <w:szCs w:val="32"/>
        </w:rPr>
        <w:t>社会保障和就业（类）行政事业单位养老支出（款）其他行政事业单位养老支出（项）:</w:t>
      </w:r>
      <w:r>
        <w:rPr>
          <w:rFonts w:hint="eastAsia" w:ascii="仿宋_GB2312" w:hAnsi="仿宋_GB2312" w:eastAsia="仿宋_GB2312" w:cs="仿宋_GB2312"/>
          <w:sz w:val="32"/>
          <w:szCs w:val="32"/>
        </w:rPr>
        <w:t>指反映机关事业单位实施养老保险制度由单位缴纳的基本养老保险费支出</w:t>
      </w:r>
      <w:r>
        <w:rPr>
          <w:rFonts w:hint="eastAsia" w:ascii="仿宋_GB2312" w:eastAsia="仿宋_GB2312"/>
          <w:sz w:val="32"/>
          <w:szCs w:val="32"/>
        </w:rPr>
        <w:t>。</w:t>
      </w:r>
    </w:p>
    <w:p>
      <w:pPr>
        <w:ind w:firstLine="640" w:firstLineChars="200"/>
        <w:jc w:val="both"/>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0.</w:t>
      </w:r>
      <w:r>
        <w:rPr>
          <w:rFonts w:hint="eastAsia" w:ascii="仿宋_GB2312" w:eastAsia="仿宋_GB2312"/>
          <w:sz w:val="32"/>
          <w:szCs w:val="32"/>
        </w:rPr>
        <w:t>社会保障和就业（类）其他社会保障和就业支出（款）其他社会保障和就业支出（项）:指反映除上述项目以外其他用于社会保障和就业方面的支出。</w:t>
      </w:r>
    </w:p>
    <w:p>
      <w:pPr>
        <w:ind w:firstLine="640" w:firstLineChars="200"/>
        <w:jc w:val="both"/>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1</w:t>
      </w:r>
      <w:r>
        <w:rPr>
          <w:rFonts w:hint="eastAsia" w:ascii="仿宋_GB2312" w:eastAsia="仿宋_GB2312"/>
          <w:sz w:val="32"/>
          <w:szCs w:val="32"/>
        </w:rPr>
        <w:t>.卫生健康（类）行政事业单位医疗（款）事业单位医疗（项）:指</w:t>
      </w:r>
      <w:r>
        <w:rPr>
          <w:rFonts w:hint="eastAsia" w:ascii="仿宋_GB2312" w:hAnsi="仿宋_GB2312" w:eastAsia="仿宋_GB2312" w:cs="仿宋_GB2312"/>
          <w:sz w:val="32"/>
          <w:szCs w:val="32"/>
        </w:rPr>
        <w:t>反映财政部门集中安排的事业单位基本医疗保险缴费经费，未参加医疗保险的事业单位的公费医疗经费，按国家规定享受离休人员待遇人员的医疗经费</w:t>
      </w:r>
      <w:r>
        <w:rPr>
          <w:rFonts w:hint="eastAsia" w:ascii="仿宋_GB2312" w:eastAsia="仿宋_GB2312"/>
          <w:sz w:val="32"/>
          <w:szCs w:val="32"/>
        </w:rPr>
        <w:t>。</w:t>
      </w:r>
    </w:p>
    <w:p>
      <w:pPr>
        <w:ind w:firstLine="640" w:firstLineChars="200"/>
        <w:jc w:val="both"/>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2</w:t>
      </w:r>
      <w:r>
        <w:rPr>
          <w:rFonts w:hint="eastAsia" w:ascii="仿宋_GB2312" w:eastAsia="仿宋_GB2312"/>
          <w:sz w:val="32"/>
          <w:szCs w:val="32"/>
        </w:rPr>
        <w:t>.住房保障（类）住房改革支出（款）住房公积金（项）:</w:t>
      </w:r>
      <w:r>
        <w:rPr>
          <w:rFonts w:hint="eastAsia" w:ascii="仿宋_GB2312" w:eastAsia="仿宋_GB2312"/>
          <w:sz w:val="32"/>
          <w:szCs w:val="32"/>
          <w:lang w:eastAsia="zh-CN"/>
        </w:rPr>
        <w:t>指</w:t>
      </w:r>
      <w:r>
        <w:rPr>
          <w:rFonts w:hint="eastAsia" w:ascii="仿宋_GB2312" w:hAnsi="仿宋_GB2312" w:eastAsia="仿宋_GB2312" w:cs="仿宋_GB2312"/>
          <w:sz w:val="32"/>
          <w:szCs w:val="32"/>
        </w:rPr>
        <w:t>反映行政事业单位按人力资源和社会保障部、财政部规定的基本工资和津补贴以及规定比例为职工缴纳的住房公积金</w:t>
      </w:r>
      <w:r>
        <w:rPr>
          <w:rFonts w:hint="eastAsia" w:ascii="仿宋_GB2312" w:eastAsia="仿宋_GB2312"/>
          <w:sz w:val="32"/>
          <w:szCs w:val="32"/>
        </w:rPr>
        <w:t>。</w:t>
      </w:r>
    </w:p>
    <w:p>
      <w:pPr>
        <w:ind w:firstLine="640" w:firstLineChars="200"/>
        <w:jc w:val="both"/>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3</w:t>
      </w:r>
      <w:r>
        <w:rPr>
          <w:rFonts w:ascii="仿宋_GB2312" w:eastAsia="仿宋_GB2312"/>
          <w:sz w:val="32"/>
          <w:szCs w:val="32"/>
        </w:rPr>
        <w:t>.</w:t>
      </w:r>
      <w:r>
        <w:rPr>
          <w:rFonts w:hint="eastAsia" w:ascii="仿宋_GB2312" w:eastAsia="仿宋_GB2312"/>
          <w:sz w:val="32"/>
          <w:szCs w:val="32"/>
        </w:rPr>
        <w:t>基本支出：指为保障机构正常运转、完成日常工作任务而发生的人员支出和公用支出。</w:t>
      </w:r>
    </w:p>
    <w:p>
      <w:pPr>
        <w:ind w:firstLine="640" w:firstLineChars="200"/>
        <w:jc w:val="both"/>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4</w:t>
      </w:r>
      <w:r>
        <w:rPr>
          <w:rFonts w:ascii="仿宋_GB2312" w:eastAsia="仿宋_GB2312"/>
          <w:sz w:val="32"/>
          <w:szCs w:val="32"/>
        </w:rPr>
        <w:t>.</w:t>
      </w:r>
      <w:r>
        <w:rPr>
          <w:rFonts w:hint="eastAsia" w:ascii="仿宋_GB2312" w:eastAsia="仿宋_GB2312"/>
          <w:sz w:val="32"/>
          <w:szCs w:val="32"/>
        </w:rPr>
        <w:t>项目支出：指在基本支出之外为完成特定行政任务和事业发展目标所发生的支出。</w:t>
      </w:r>
      <w:r>
        <w:rPr>
          <w:rFonts w:ascii="仿宋_GB2312" w:eastAsia="仿宋_GB2312"/>
          <w:sz w:val="32"/>
          <w:szCs w:val="32"/>
        </w:rPr>
        <w:t xml:space="preserve"> </w:t>
      </w:r>
    </w:p>
    <w:p>
      <w:pPr>
        <w:spacing w:line="600" w:lineRule="exact"/>
        <w:jc w:val="both"/>
        <w:outlineLvl w:val="0"/>
        <w:rPr>
          <w:rStyle w:val="27"/>
          <w:rFonts w:hint="eastAsia" w:ascii="黑体" w:hAnsi="黑体" w:eastAsia="黑体"/>
          <w:b w:val="0"/>
          <w:color w:val="auto"/>
          <w:highlight w:val="none"/>
          <w:lang w:eastAsia="zh-CN"/>
        </w:rPr>
      </w:pPr>
      <w:r>
        <w:rPr>
          <w:rFonts w:hint="eastAsia" w:ascii="仿宋_GB2312" w:eastAsia="仿宋_GB2312"/>
          <w:color w:val="auto"/>
          <w:sz w:val="32"/>
          <w:szCs w:val="32"/>
          <w:lang w:val="en-US" w:eastAsia="zh-CN"/>
        </w:rPr>
        <w:t>15</w:t>
      </w:r>
      <w:r>
        <w:rPr>
          <w:rFonts w:ascii="仿宋_GB2312" w:eastAsia="仿宋_GB2312"/>
          <w:color w:val="auto"/>
          <w:sz w:val="32"/>
          <w:szCs w:val="32"/>
        </w:rPr>
        <w:t>.</w:t>
      </w:r>
      <w:r>
        <w:rPr>
          <w:rFonts w:hint="eastAsia" w:ascii="仿宋_GB2312" w:eastAsia="仿宋_GB2312"/>
          <w:color w:val="auto"/>
          <w:sz w:val="32"/>
          <w:szCs w:val="32"/>
        </w:rPr>
        <w:t>“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r>
        <w:rPr>
          <w:rFonts w:ascii="宋体"/>
          <w:b/>
          <w:color w:val="auto"/>
          <w:sz w:val="44"/>
          <w:szCs w:val="44"/>
          <w:highlight w:val="none"/>
        </w:rPr>
        <w:br w:type="page"/>
      </w:r>
      <w:bookmarkStart w:id="74" w:name="_Toc15396614"/>
      <w:bookmarkStart w:id="75" w:name="_Toc28035"/>
      <w:r>
        <w:rPr>
          <w:rFonts w:hint="eastAsia" w:ascii="黑体" w:hAnsi="黑体" w:eastAsia="黑体"/>
          <w:color w:val="auto"/>
          <w:sz w:val="44"/>
          <w:szCs w:val="44"/>
          <w:highlight w:val="none"/>
        </w:rPr>
        <w:t>第</w:t>
      </w:r>
      <w:r>
        <w:rPr>
          <w:rStyle w:val="27"/>
          <w:rFonts w:hint="eastAsia" w:ascii="黑体" w:hAnsi="黑体" w:eastAsia="黑体"/>
          <w:b w:val="0"/>
          <w:color w:val="auto"/>
          <w:highlight w:val="none"/>
        </w:rPr>
        <w:t>四部分 附件</w:t>
      </w:r>
      <w:bookmarkEnd w:id="74"/>
      <w:bookmarkEnd w:id="75"/>
    </w:p>
    <w:p>
      <w:pPr>
        <w:keepNext w:val="0"/>
        <w:keepLines w:val="0"/>
        <w:pageBreakBefore w:val="0"/>
        <w:kinsoku/>
        <w:wordWrap/>
        <w:overflowPunct/>
        <w:topLinePunct w:val="0"/>
        <w:autoSpaceDE/>
        <w:autoSpaceDN/>
        <w:bidi w:val="0"/>
        <w:spacing w:line="572" w:lineRule="exact"/>
        <w:jc w:val="left"/>
        <w:textAlignment w:val="auto"/>
        <w:outlineLvl w:val="1"/>
        <w:rPr>
          <w:rFonts w:ascii="方正小标宋简体" w:hAnsi="方正小标宋简体" w:eastAsia="方正小标宋简体" w:cs="方正小标宋简体"/>
          <w:color w:val="auto"/>
          <w:sz w:val="44"/>
          <w:szCs w:val="44"/>
          <w:highlight w:val="none"/>
        </w:rPr>
      </w:pPr>
      <w:bookmarkStart w:id="76" w:name="_Toc26800"/>
      <w:r>
        <w:rPr>
          <w:rFonts w:hint="eastAsia" w:ascii="黑体" w:hAnsi="黑体" w:eastAsia="黑体" w:cs="黑体"/>
          <w:color w:val="auto"/>
          <w:sz w:val="32"/>
          <w:szCs w:val="32"/>
          <w:highlight w:val="none"/>
        </w:rPr>
        <w:t>附件</w:t>
      </w:r>
      <w:bookmarkEnd w:id="76"/>
    </w:p>
    <w:p>
      <w:pPr>
        <w:keepNext w:val="0"/>
        <w:keepLines w:val="0"/>
        <w:pageBreakBefore w:val="0"/>
        <w:widowControl/>
        <w:kinsoku/>
        <w:wordWrap/>
        <w:overflowPunct/>
        <w:topLinePunct w:val="0"/>
        <w:autoSpaceDE/>
        <w:autoSpaceDN/>
        <w:bidi w:val="0"/>
        <w:spacing w:line="560" w:lineRule="exact"/>
        <w:contextualSpacing/>
        <w:jc w:val="center"/>
        <w:textAlignment w:val="auto"/>
        <w:rPr>
          <w:rFonts w:hint="eastAsia" w:ascii="宋体" w:hAnsi="宋体" w:eastAsia="宋体"/>
          <w:b/>
          <w:color w:val="auto"/>
          <w:sz w:val="32"/>
          <w:szCs w:val="32"/>
          <w:highlight w:val="none"/>
          <w:shd w:val="clear" w:color="auto" w:fill="FFFFFF"/>
        </w:rPr>
      </w:pPr>
      <w:r>
        <w:rPr>
          <w:rFonts w:hint="eastAsia" w:ascii="宋体" w:hAnsi="宋体" w:eastAsia="宋体"/>
          <w:b/>
          <w:color w:val="auto"/>
          <w:sz w:val="32"/>
          <w:szCs w:val="32"/>
          <w:highlight w:val="none"/>
          <w:shd w:val="clear" w:color="auto" w:fill="FFFFFF"/>
        </w:rPr>
        <w:t>巴中市产品质量检验检测中心</w:t>
      </w:r>
    </w:p>
    <w:p>
      <w:pPr>
        <w:keepNext w:val="0"/>
        <w:keepLines w:val="0"/>
        <w:pageBreakBefore w:val="0"/>
        <w:widowControl/>
        <w:kinsoku/>
        <w:wordWrap/>
        <w:overflowPunct/>
        <w:topLinePunct w:val="0"/>
        <w:autoSpaceDE/>
        <w:autoSpaceDN/>
        <w:bidi w:val="0"/>
        <w:spacing w:line="560" w:lineRule="exact"/>
        <w:contextualSpacing/>
        <w:jc w:val="center"/>
        <w:textAlignment w:val="auto"/>
        <w:rPr>
          <w:rFonts w:hint="eastAsia" w:ascii="宋体" w:hAnsi="宋体" w:eastAsia="宋体"/>
          <w:b/>
          <w:color w:val="auto"/>
          <w:sz w:val="32"/>
          <w:szCs w:val="32"/>
          <w:highlight w:val="none"/>
          <w:shd w:val="clear" w:color="auto" w:fill="FFFFFF"/>
          <w:lang w:val="en-US" w:eastAsia="zh-CN"/>
        </w:rPr>
      </w:pPr>
      <w:r>
        <w:rPr>
          <w:rFonts w:hint="eastAsia" w:ascii="宋体" w:hAnsi="宋体" w:eastAsia="宋体"/>
          <w:b/>
          <w:color w:val="auto"/>
          <w:sz w:val="32"/>
          <w:szCs w:val="32"/>
          <w:highlight w:val="none"/>
          <w:shd w:val="clear" w:color="auto" w:fill="FFFFFF"/>
        </w:rPr>
        <w:t>2022年部门整体支出绩效评价</w:t>
      </w:r>
      <w:r>
        <w:rPr>
          <w:rFonts w:hint="eastAsia" w:ascii="宋体" w:hAnsi="宋体"/>
          <w:b/>
          <w:color w:val="auto"/>
          <w:sz w:val="32"/>
          <w:szCs w:val="32"/>
          <w:highlight w:val="none"/>
          <w:shd w:val="clear" w:color="auto" w:fill="FFFFFF"/>
          <w:lang w:val="en-US" w:eastAsia="zh-CN"/>
        </w:rPr>
        <w:t>报告</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ascii="黑体" w:hAnsi="宋体" w:eastAsia="黑体" w:cs="宋体"/>
          <w:color w:val="auto"/>
          <w:kern w:val="0"/>
          <w:sz w:val="32"/>
          <w:szCs w:val="32"/>
          <w:highlight w:val="none"/>
          <w:shd w:val="clear" w:color="auto" w:fill="FFFFFF"/>
        </w:rPr>
      </w:pPr>
    </w:p>
    <w:p>
      <w:pPr>
        <w:spacing w:line="560" w:lineRule="exact"/>
        <w:ind w:firstLine="420" w:firstLineChars="200"/>
        <w:rPr>
          <w:rFonts w:hint="eastAsia" w:ascii="方正黑体_GBK" w:eastAsia="方正黑体_GBK"/>
          <w:szCs w:val="32"/>
          <w:shd w:val="clear" w:color="auto" w:fill="FFFFFF"/>
          <w:lang w:val="zh-CN"/>
        </w:rPr>
      </w:pPr>
      <w:r>
        <w:rPr>
          <w:rFonts w:hint="eastAsia" w:ascii="方正黑体_GBK" w:eastAsia="方正黑体_GBK"/>
          <w:szCs w:val="32"/>
          <w:shd w:val="clear" w:color="auto" w:fill="FFFFFF"/>
        </w:rPr>
        <w:t>一、</w:t>
      </w:r>
      <w:r>
        <w:rPr>
          <w:rFonts w:hint="eastAsia" w:ascii="方正黑体_GBK" w:eastAsia="方正黑体_GBK"/>
          <w:szCs w:val="32"/>
          <w:shd w:val="clear" w:color="auto" w:fill="FFFFFF"/>
          <w:lang w:val="zh-CN"/>
        </w:rPr>
        <w:t>部门概况</w:t>
      </w:r>
    </w:p>
    <w:p>
      <w:pPr>
        <w:spacing w:line="560" w:lineRule="exact"/>
        <w:ind w:firstLine="422" w:firstLineChars="200"/>
        <w:rPr>
          <w:rFonts w:hint="eastAsia" w:ascii="方正楷体_GBK" w:hAnsi="方正楷体_GBK" w:eastAsia="方正楷体_GBK" w:cs="方正楷体_GBK"/>
          <w:b/>
          <w:bCs/>
          <w:szCs w:val="32"/>
          <w:shd w:val="clear" w:color="auto" w:fill="FFFFFF"/>
          <w:lang w:val="zh-CN"/>
        </w:rPr>
      </w:pPr>
      <w:r>
        <w:rPr>
          <w:rFonts w:hint="eastAsia" w:ascii="方正楷体_GBK" w:hAnsi="方正楷体_GBK" w:eastAsia="方正楷体_GBK" w:cs="方正楷体_GBK"/>
          <w:b/>
          <w:bCs/>
          <w:szCs w:val="32"/>
          <w:shd w:val="clear" w:color="auto" w:fill="FFFFFF"/>
          <w:lang w:val="zh-CN"/>
        </w:rPr>
        <w:t>（一）机构组成</w:t>
      </w:r>
    </w:p>
    <w:p>
      <w:pPr>
        <w:spacing w:line="560" w:lineRule="exact"/>
        <w:ind w:firstLine="720"/>
        <w:rPr>
          <w:rFonts w:eastAsia="方正仿宋_GBK"/>
          <w:szCs w:val="32"/>
          <w:shd w:val="clear" w:color="auto" w:fill="FFFFFF"/>
          <w:lang w:val="zh-CN"/>
        </w:rPr>
      </w:pPr>
      <w:r>
        <w:rPr>
          <w:rFonts w:hint="eastAsia" w:eastAsia="方正仿宋_GBK"/>
          <w:szCs w:val="32"/>
        </w:rPr>
        <w:t>巴中市产品质量检验检测中心是巴中市人民政府直属公益一类事业单位，挂巴中市食品药品检验所、巴中市产品质量监督检验所牌子，主要负责人按正县级配备。</w:t>
      </w:r>
    </w:p>
    <w:p>
      <w:pPr>
        <w:spacing w:line="560" w:lineRule="exact"/>
        <w:ind w:firstLine="422" w:firstLineChars="200"/>
        <w:rPr>
          <w:rFonts w:hint="eastAsia" w:ascii="方正楷体_GBK" w:hAnsi="方正楷体_GBK" w:eastAsia="方正楷体_GBK" w:cs="方正楷体_GBK"/>
          <w:b/>
          <w:bCs/>
          <w:szCs w:val="32"/>
          <w:shd w:val="clear" w:color="auto" w:fill="FFFFFF"/>
          <w:lang w:val="zh-CN"/>
        </w:rPr>
      </w:pPr>
      <w:r>
        <w:rPr>
          <w:rFonts w:hint="eastAsia" w:ascii="方正楷体_GBK" w:hAnsi="方正楷体_GBK" w:eastAsia="方正楷体_GBK" w:cs="方正楷体_GBK"/>
          <w:b/>
          <w:bCs/>
          <w:szCs w:val="32"/>
          <w:shd w:val="clear" w:color="auto" w:fill="FFFFFF"/>
          <w:lang w:val="zh-CN"/>
        </w:rPr>
        <w:t>（二）机构职能</w:t>
      </w:r>
    </w:p>
    <w:p>
      <w:pPr>
        <w:spacing w:line="560" w:lineRule="exact"/>
        <w:ind w:firstLine="420" w:firstLineChars="200"/>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1.贯彻执行产品质量检验检测的方针、政策、法律法规以及市委、市政府的决策部署。</w:t>
      </w:r>
    </w:p>
    <w:p>
      <w:pPr>
        <w:spacing w:line="560" w:lineRule="exact"/>
        <w:ind w:firstLine="420" w:firstLineChars="200"/>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2.负责食品、药品、保健食品、化妆品及工业产品质量与安全相关的检验检测及技术复核，为行政执法部门依法行政提供技术支撑。</w:t>
      </w:r>
      <w:r>
        <w:rPr>
          <w:rFonts w:hint="eastAsia" w:ascii="方正仿宋_GBK" w:hAnsi="方正仿宋_GBK" w:eastAsia="方正仿宋_GBK" w:cs="方正仿宋_GBK"/>
          <w:szCs w:val="32"/>
        </w:rPr>
        <w:tab/>
      </w:r>
      <w:r>
        <w:rPr>
          <w:rFonts w:hint="eastAsia" w:ascii="方正仿宋_GBK" w:hAnsi="方正仿宋_GBK" w:eastAsia="方正仿宋_GBK" w:cs="方正仿宋_GBK"/>
          <w:szCs w:val="32"/>
        </w:rPr>
        <w:t>`</w:t>
      </w:r>
    </w:p>
    <w:p>
      <w:pPr>
        <w:spacing w:line="560" w:lineRule="exact"/>
        <w:ind w:firstLine="420" w:firstLineChars="200"/>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3.承担国家、省、市下达的食品、药品、保健食品、化</w:t>
      </w:r>
    </w:p>
    <w:p>
      <w:pPr>
        <w:spacing w:line="560" w:lineRule="exact"/>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妆品及工业产品质量安全抽检任务。</w:t>
      </w:r>
    </w:p>
    <w:p>
      <w:pPr>
        <w:spacing w:line="560" w:lineRule="exact"/>
        <w:ind w:firstLine="420" w:firstLineChars="200"/>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4.指导全市县级食品、药品、工业产品检验检测单位及相关生产、经营、使用单位质量检验机构的业务技术工作，协助解决相关技术问题。</w:t>
      </w:r>
    </w:p>
    <w:p>
      <w:pPr>
        <w:spacing w:line="560" w:lineRule="exact"/>
        <w:ind w:firstLine="420" w:firstLineChars="200"/>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5.负责辖区医疗机构制剂注册的样品检验和质量标准技术复核工作。</w:t>
      </w:r>
    </w:p>
    <w:p>
      <w:pPr>
        <w:spacing w:line="560" w:lineRule="exact"/>
        <w:ind w:firstLine="420" w:firstLineChars="200"/>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6.负责收集、整理、综合上报和反馈食品、药品、保健食品、化妆品及工业产品的质量信息，提供质量公告所需的技术数据和质量分析报告。</w:t>
      </w:r>
    </w:p>
    <w:p>
      <w:pPr>
        <w:spacing w:line="560" w:lineRule="exact"/>
        <w:ind w:firstLine="420" w:firstLineChars="200"/>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7.为相关部门开展食品、药品、保健食品、化妆品及工业产品的质量安全预警工作提供技术保障。</w:t>
      </w:r>
    </w:p>
    <w:p>
      <w:pPr>
        <w:spacing w:line="560" w:lineRule="exact"/>
        <w:ind w:firstLine="420" w:firstLineChars="200"/>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8.承担本市食品、药品、保健食品、化妆品及工业产品质量安全突发事件中应急检测任务。</w:t>
      </w:r>
    </w:p>
    <w:p>
      <w:pPr>
        <w:spacing w:line="560" w:lineRule="exact"/>
        <w:ind w:firstLine="420" w:firstLineChars="200"/>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9.开展食品、药品、保健食品、化妆品及工业产品的质量标准、检验方法及相关安全性、有效性的研究工作。</w:t>
      </w:r>
    </w:p>
    <w:p>
      <w:pPr>
        <w:spacing w:line="560" w:lineRule="exact"/>
        <w:ind w:firstLine="420" w:firstLineChars="200"/>
        <w:rPr>
          <w:rFonts w:hint="eastAsia" w:ascii="方正仿宋_GBK" w:hAnsi="方正仿宋_GBK" w:eastAsia="方正仿宋_GBK" w:cs="方正仿宋_GBK"/>
          <w:szCs w:val="32"/>
          <w:shd w:val="clear" w:color="auto" w:fill="FFFFFF"/>
        </w:rPr>
      </w:pPr>
      <w:r>
        <w:rPr>
          <w:rFonts w:hint="eastAsia" w:ascii="方正仿宋_GBK" w:hAnsi="方正仿宋_GBK" w:eastAsia="方正仿宋_GBK" w:cs="方正仿宋_GBK"/>
          <w:szCs w:val="32"/>
        </w:rPr>
        <w:t>10.完成市委、市政府交办的其他任务。</w:t>
      </w:r>
    </w:p>
    <w:p>
      <w:pPr>
        <w:numPr>
          <w:ilvl w:val="0"/>
          <w:numId w:val="4"/>
        </w:numPr>
        <w:spacing w:line="560" w:lineRule="exact"/>
        <w:ind w:firstLine="720"/>
        <w:rPr>
          <w:rFonts w:hint="eastAsia" w:ascii="方正楷体_GBK" w:hAnsi="方正楷体_GBK" w:eastAsia="方正楷体_GBK" w:cs="方正楷体_GBK"/>
          <w:b/>
          <w:bCs/>
          <w:szCs w:val="32"/>
          <w:shd w:val="clear" w:color="auto" w:fill="FFFFFF"/>
          <w:lang w:val="zh-CN"/>
        </w:rPr>
      </w:pPr>
      <w:r>
        <w:rPr>
          <w:rFonts w:hint="eastAsia" w:ascii="方正楷体_GBK" w:hAnsi="方正楷体_GBK" w:eastAsia="方正楷体_GBK" w:cs="方正楷体_GBK"/>
          <w:b/>
          <w:bCs/>
          <w:szCs w:val="32"/>
          <w:shd w:val="clear" w:color="auto" w:fill="FFFFFF"/>
          <w:lang w:val="zh-CN"/>
        </w:rPr>
        <w:t>人员概况</w:t>
      </w:r>
    </w:p>
    <w:p>
      <w:pPr>
        <w:spacing w:line="560" w:lineRule="exact"/>
        <w:ind w:firstLine="420" w:firstLineChars="200"/>
        <w:rPr>
          <w:rFonts w:eastAsia="方正仿宋_GBK"/>
          <w:szCs w:val="32"/>
          <w:shd w:val="clear" w:color="auto" w:fill="FFFFFF"/>
          <w:lang w:val="zh-CN"/>
        </w:rPr>
      </w:pPr>
      <w:r>
        <w:rPr>
          <w:rFonts w:hint="eastAsia" w:ascii="仿宋_GB2312" w:hAnsi="仿宋"/>
          <w:szCs w:val="32"/>
        </w:rPr>
        <w:t>2022年末在职职工65名，其中：事业人员65人；年末遗属人员1人。退休人员15人。</w:t>
      </w:r>
    </w:p>
    <w:p>
      <w:pPr>
        <w:spacing w:line="560" w:lineRule="exact"/>
        <w:ind w:firstLine="720"/>
        <w:rPr>
          <w:rFonts w:ascii="方正黑体_GBK" w:eastAsia="方正黑体_GBK"/>
          <w:szCs w:val="32"/>
          <w:shd w:val="clear" w:color="auto" w:fill="FFFFFF"/>
        </w:rPr>
      </w:pPr>
      <w:r>
        <w:rPr>
          <w:rFonts w:ascii="方正黑体_GBK" w:eastAsia="方正黑体_GBK"/>
          <w:szCs w:val="32"/>
          <w:shd w:val="clear" w:color="auto" w:fill="FFFFFF"/>
        </w:rPr>
        <w:t>二、部门财政资金收支情况</w:t>
      </w:r>
    </w:p>
    <w:p>
      <w:pPr>
        <w:spacing w:line="560" w:lineRule="exact"/>
        <w:ind w:firstLine="720"/>
        <w:rPr>
          <w:rFonts w:hint="eastAsia" w:ascii="方正楷体_GBK" w:hAnsi="方正楷体_GBK" w:eastAsia="方正楷体_GBK" w:cs="方正楷体_GBK"/>
          <w:b/>
          <w:bCs/>
          <w:szCs w:val="32"/>
          <w:shd w:val="clear" w:color="auto" w:fill="FFFFFF"/>
          <w:lang w:val="zh-CN"/>
        </w:rPr>
      </w:pPr>
      <w:r>
        <w:rPr>
          <w:rFonts w:hint="eastAsia" w:ascii="方正楷体_GBK" w:hAnsi="方正楷体_GBK" w:eastAsia="方正楷体_GBK" w:cs="方正楷体_GBK"/>
          <w:b/>
          <w:bCs/>
          <w:szCs w:val="32"/>
          <w:shd w:val="clear" w:color="auto" w:fill="FFFFFF"/>
          <w:lang w:val="zh-CN"/>
        </w:rPr>
        <w:t>（一）部门财政资金收入情况</w:t>
      </w:r>
    </w:p>
    <w:p>
      <w:pPr>
        <w:snapToGrid w:val="0"/>
        <w:spacing w:line="560" w:lineRule="exact"/>
        <w:ind w:firstLine="420" w:firstLineChars="200"/>
        <w:rPr>
          <w:rFonts w:eastAsia="方正仿宋_GBK"/>
          <w:szCs w:val="32"/>
          <w:shd w:val="clear" w:color="auto" w:fill="FFFFFF"/>
          <w:lang w:val="zh-CN"/>
        </w:rPr>
      </w:pPr>
      <w:r>
        <w:rPr>
          <w:rFonts w:hint="eastAsia" w:ascii="仿宋_GB2312" w:hAnsi="仿宋_GB2312" w:cs="仿宋_GB2312"/>
          <w:szCs w:val="32"/>
        </w:rPr>
        <w:t>2022年预算总收入1,408.56万元，其中一般公共预算财政拨款收入1,408.56万元（基本支出1,162.50万元，项目支出246.06万元），年初结转结余资金179.25万元。</w:t>
      </w:r>
    </w:p>
    <w:p>
      <w:pPr>
        <w:spacing w:line="560" w:lineRule="exact"/>
        <w:ind w:firstLine="422" w:firstLineChars="200"/>
        <w:rPr>
          <w:rFonts w:hint="eastAsia" w:ascii="方正楷体_GBK" w:hAnsi="方正楷体_GBK" w:eastAsia="方正楷体_GBK" w:cs="方正楷体_GBK"/>
          <w:b/>
          <w:bCs/>
          <w:szCs w:val="32"/>
          <w:shd w:val="clear" w:color="auto" w:fill="FFFFFF"/>
          <w:lang w:val="zh-CN"/>
        </w:rPr>
      </w:pPr>
      <w:r>
        <w:rPr>
          <w:rFonts w:hint="eastAsia" w:ascii="方正楷体_GBK" w:hAnsi="方正楷体_GBK" w:eastAsia="方正楷体_GBK" w:cs="方正楷体_GBK"/>
          <w:b/>
          <w:bCs/>
          <w:szCs w:val="32"/>
          <w:shd w:val="clear" w:color="auto" w:fill="FFFFFF"/>
          <w:lang w:val="zh-CN"/>
        </w:rPr>
        <w:t>（二）部门财政资金支出情况</w:t>
      </w:r>
    </w:p>
    <w:p>
      <w:pPr>
        <w:snapToGrid w:val="0"/>
        <w:spacing w:line="560" w:lineRule="exact"/>
        <w:ind w:firstLine="420" w:firstLineChars="200"/>
        <w:rPr>
          <w:rFonts w:ascii="仿宋_GB2312" w:hAnsi="仿宋_GB2312" w:cs="仿宋_GB2312"/>
          <w:szCs w:val="32"/>
        </w:rPr>
      </w:pPr>
      <w:r>
        <w:rPr>
          <w:rFonts w:hint="eastAsia" w:ascii="仿宋_GB2312" w:hAnsi="仿宋_GB2312" w:cs="仿宋_GB2312"/>
          <w:szCs w:val="32"/>
        </w:rPr>
        <w:t>2022年预算收入总支出1,587.41万元，其中：基本支出1,162.50万元，项目支出424.91万元，年末结余结转资金0.4万元。</w:t>
      </w:r>
    </w:p>
    <w:p>
      <w:pPr>
        <w:spacing w:line="560" w:lineRule="exact"/>
        <w:ind w:firstLine="720"/>
        <w:rPr>
          <w:rFonts w:ascii="方正黑体_GBK" w:eastAsia="方正黑体_GBK"/>
          <w:szCs w:val="32"/>
          <w:shd w:val="clear" w:color="auto" w:fill="FFFFFF"/>
        </w:rPr>
      </w:pPr>
      <w:r>
        <w:rPr>
          <w:rFonts w:ascii="方正黑体_GBK" w:eastAsia="方正黑体_GBK"/>
          <w:szCs w:val="32"/>
          <w:shd w:val="clear" w:color="auto" w:fill="FFFFFF"/>
        </w:rPr>
        <w:t>三、部门财政支出管理情况</w:t>
      </w:r>
    </w:p>
    <w:p>
      <w:pPr>
        <w:spacing w:line="560" w:lineRule="exact"/>
        <w:ind w:firstLine="720"/>
        <w:rPr>
          <w:rFonts w:ascii="方正楷体_GBK" w:eastAsia="方正楷体_GBK"/>
          <w:b/>
          <w:bCs/>
          <w:szCs w:val="32"/>
          <w:shd w:val="clear" w:color="auto" w:fill="FFFFFF"/>
          <w:lang w:val="zh-CN"/>
        </w:rPr>
      </w:pPr>
      <w:r>
        <w:rPr>
          <w:rFonts w:ascii="方正楷体_GBK" w:eastAsia="方正楷体_GBK"/>
          <w:b/>
          <w:bCs/>
          <w:szCs w:val="32"/>
          <w:shd w:val="clear" w:color="auto" w:fill="FFFFFF"/>
          <w:lang w:val="zh-CN"/>
        </w:rPr>
        <w:t>（一）制度建设情况</w:t>
      </w:r>
    </w:p>
    <w:p>
      <w:pPr>
        <w:spacing w:line="560" w:lineRule="exact"/>
        <w:ind w:firstLine="720"/>
        <w:rPr>
          <w:rFonts w:eastAsia="方正仿宋_GBK"/>
          <w:szCs w:val="32"/>
          <w:shd w:val="clear" w:color="auto" w:fill="FFFFFF"/>
          <w:lang w:val="zh-CN"/>
        </w:rPr>
      </w:pPr>
      <w:r>
        <w:rPr>
          <w:rFonts w:hint="eastAsia" w:ascii="华文仿宋" w:hAnsi="华文仿宋" w:eastAsia="华文仿宋" w:cs="宋体"/>
          <w:szCs w:val="32"/>
          <w:shd w:val="clear" w:color="auto" w:fill="FFFFFF"/>
        </w:rPr>
        <w:t>市产品质量检验检测中心制定和完善了《财务管理制度》《政府采购管理制度》《固定资产管理制度》等各项管理制度；编制了《巴中市产品质量检验检测中心内控手册》，</w:t>
      </w:r>
      <w:r>
        <w:rPr>
          <w:rFonts w:hint="eastAsia" w:ascii="华文仿宋" w:hAnsi="华文仿宋" w:eastAsia="华文仿宋" w:cs="宋体"/>
          <w:szCs w:val="32"/>
          <w:shd w:val="clear" w:color="auto" w:fill="FFFFFF"/>
          <w:lang w:val="zh-CN"/>
        </w:rPr>
        <w:t>涵盖预算业务管理、收支业务管理、政府采购业务管理、资产管理、政府采购业务管理、合同管理等范畴，相关制度合法合规完整并有效执行，资金拨付、审批、支付等环节层层把关，确保了财政资金的安全。</w:t>
      </w:r>
    </w:p>
    <w:p>
      <w:pPr>
        <w:spacing w:line="560" w:lineRule="exact"/>
        <w:ind w:firstLine="422" w:firstLineChars="200"/>
        <w:rPr>
          <w:rFonts w:ascii="方正楷体_GBK" w:eastAsia="方正楷体_GBK"/>
          <w:b/>
          <w:bCs/>
          <w:szCs w:val="32"/>
          <w:shd w:val="clear" w:color="auto" w:fill="FFFFFF"/>
          <w:lang w:val="zh-CN"/>
        </w:rPr>
      </w:pPr>
      <w:r>
        <w:rPr>
          <w:rFonts w:ascii="方正楷体_GBK" w:eastAsia="方正楷体_GBK"/>
          <w:b/>
          <w:bCs/>
          <w:szCs w:val="32"/>
          <w:shd w:val="clear" w:color="auto" w:fill="FFFFFF"/>
          <w:lang w:val="zh-CN"/>
        </w:rPr>
        <w:t>（二）绩效目标管理情况</w:t>
      </w:r>
    </w:p>
    <w:p>
      <w:pPr>
        <w:spacing w:line="560" w:lineRule="exact"/>
        <w:ind w:firstLine="422" w:firstLineChars="200"/>
        <w:rPr>
          <w:rFonts w:hint="eastAsia" w:ascii="仿宋_GB2312" w:hAnsi="华文仿宋" w:cs="宋体"/>
          <w:b/>
          <w:bCs/>
          <w:szCs w:val="32"/>
          <w:shd w:val="clear" w:color="auto" w:fill="FFFFFF"/>
          <w:lang w:val="zh-CN"/>
        </w:rPr>
      </w:pPr>
      <w:r>
        <w:rPr>
          <w:rFonts w:hint="eastAsia" w:ascii="仿宋_GB2312" w:hAnsi="华文仿宋" w:cs="宋体"/>
          <w:b/>
          <w:bCs/>
          <w:szCs w:val="32"/>
          <w:shd w:val="clear" w:color="auto" w:fill="FFFFFF"/>
          <w:lang w:val="zh-CN"/>
        </w:rPr>
        <w:t>1.预算编制情况</w:t>
      </w:r>
    </w:p>
    <w:p>
      <w:pPr>
        <w:spacing w:line="560" w:lineRule="exact"/>
        <w:ind w:firstLine="420" w:firstLineChars="200"/>
        <w:rPr>
          <w:rFonts w:hint="eastAsia" w:ascii="仿宋_GB2312" w:hAnsi="华文仿宋" w:cs="宋体"/>
          <w:szCs w:val="32"/>
          <w:shd w:val="clear" w:color="auto" w:fill="FFFFFF"/>
          <w:lang w:val="zh-CN"/>
        </w:rPr>
      </w:pPr>
      <w:r>
        <w:rPr>
          <w:rFonts w:hint="eastAsia" w:ascii="仿宋_GB2312" w:hAnsi="华文仿宋" w:cs="宋体"/>
          <w:szCs w:val="32"/>
          <w:shd w:val="clear" w:color="auto" w:fill="FFFFFF"/>
        </w:rPr>
        <w:t>我单位</w:t>
      </w:r>
      <w:r>
        <w:rPr>
          <w:rFonts w:hint="eastAsia" w:ascii="仿宋_GB2312" w:hAnsi="华文仿宋" w:cs="宋体"/>
          <w:szCs w:val="32"/>
          <w:shd w:val="clear" w:color="auto" w:fill="FFFFFF"/>
          <w:lang w:val="zh-CN"/>
        </w:rPr>
        <w:t>严格按照预算编制方案科学合理编制本单位预算，提前做好情况摸底、数据收集、填报绩效目标、细化预算；根据“总量控制、计划管理”的要求从严控制机关经费，严格编制“三公经费”预算，科学编制项目支出，按时完成预算编制报送工作。</w:t>
      </w:r>
    </w:p>
    <w:p>
      <w:pPr>
        <w:spacing w:line="560" w:lineRule="exact"/>
        <w:ind w:firstLine="422" w:firstLineChars="200"/>
        <w:rPr>
          <w:rFonts w:hint="eastAsia" w:ascii="仿宋_GB2312" w:hAnsi="华文仿宋" w:cs="宋体"/>
          <w:b/>
          <w:bCs/>
          <w:szCs w:val="32"/>
          <w:shd w:val="clear" w:color="auto" w:fill="FFFFFF"/>
          <w:lang w:val="zh-CN"/>
        </w:rPr>
      </w:pPr>
      <w:r>
        <w:rPr>
          <w:rFonts w:hint="eastAsia" w:ascii="仿宋_GB2312" w:hAnsi="华文仿宋" w:cs="宋体"/>
          <w:b/>
          <w:bCs/>
          <w:szCs w:val="32"/>
          <w:shd w:val="clear" w:color="auto" w:fill="FFFFFF"/>
          <w:lang w:val="zh-CN"/>
        </w:rPr>
        <w:t>2.绩效目标填报、监控管理、评价情况</w:t>
      </w:r>
    </w:p>
    <w:p>
      <w:pPr>
        <w:spacing w:line="560" w:lineRule="exact"/>
        <w:ind w:firstLine="420" w:firstLineChars="200"/>
        <w:rPr>
          <w:rFonts w:ascii="华文仿宋" w:hAnsi="华文仿宋" w:eastAsia="华文仿宋" w:cs="宋体"/>
          <w:szCs w:val="32"/>
          <w:shd w:val="clear" w:color="auto" w:fill="FFFFFF"/>
          <w:lang w:val="zh-CN"/>
        </w:rPr>
      </w:pPr>
      <w:r>
        <w:rPr>
          <w:rFonts w:hint="eastAsia" w:ascii="仿宋_GB2312" w:hAnsi="华文仿宋" w:cs="宋体"/>
          <w:szCs w:val="32"/>
          <w:shd w:val="clear" w:color="auto" w:fill="FFFFFF"/>
          <w:lang w:val="zh-CN"/>
        </w:rPr>
        <w:t>在项目资金管理方面，单位建立健全了相应的项目资金管理制度和办法，严格资金的使用和划拨流程，确保资金使用安全、公平、合理。做到项目资金专款专用，及时支付。在绩效评价方面，根据</w:t>
      </w:r>
      <w:r>
        <w:rPr>
          <w:rFonts w:hint="eastAsia" w:ascii="仿宋_GB2312" w:hAnsi="华文仿宋" w:cs="宋体"/>
          <w:szCs w:val="32"/>
          <w:shd w:val="clear" w:color="auto" w:fill="FFFFFF"/>
        </w:rPr>
        <w:t>市</w:t>
      </w:r>
      <w:r>
        <w:rPr>
          <w:rFonts w:hint="eastAsia" w:ascii="仿宋_GB2312" w:hAnsi="华文仿宋" w:cs="宋体"/>
          <w:szCs w:val="32"/>
          <w:shd w:val="clear" w:color="auto" w:fill="FFFFFF"/>
          <w:lang w:val="zh-CN"/>
        </w:rPr>
        <w:t>财政局要求，我单位成立</w:t>
      </w:r>
      <w:r>
        <w:rPr>
          <w:rFonts w:hint="eastAsia" w:ascii="仿宋_GB2312" w:hAnsi="华文仿宋" w:cs="宋体"/>
          <w:szCs w:val="32"/>
          <w:shd w:val="clear" w:color="auto" w:fill="FFFFFF"/>
        </w:rPr>
        <w:t>了</w:t>
      </w:r>
      <w:r>
        <w:rPr>
          <w:rFonts w:hint="eastAsia" w:ascii="仿宋_GB2312" w:hAnsi="华文仿宋" w:cs="宋体"/>
          <w:szCs w:val="32"/>
          <w:shd w:val="clear" w:color="auto" w:fill="FFFFFF"/>
          <w:lang w:val="zh-CN"/>
        </w:rPr>
        <w:t>自评工作小组，组织实施本单位绩效管理自评工作。</w:t>
      </w:r>
    </w:p>
    <w:p>
      <w:pPr>
        <w:spacing w:line="560" w:lineRule="exact"/>
        <w:ind w:firstLine="422" w:firstLineChars="200"/>
        <w:rPr>
          <w:rFonts w:ascii="方正楷体_GBK" w:eastAsia="方正楷体_GBK"/>
          <w:b/>
          <w:bCs/>
          <w:szCs w:val="32"/>
          <w:shd w:val="clear" w:color="auto" w:fill="FFFFFF"/>
          <w:lang w:val="zh-CN"/>
        </w:rPr>
      </w:pPr>
      <w:r>
        <w:rPr>
          <w:rFonts w:ascii="方正楷体_GBK" w:eastAsia="方正楷体_GBK"/>
          <w:b/>
          <w:bCs/>
          <w:szCs w:val="32"/>
          <w:shd w:val="clear" w:color="auto" w:fill="FFFFFF"/>
          <w:lang w:val="zh-CN"/>
        </w:rPr>
        <w:t>（三）综合管理情况</w:t>
      </w:r>
    </w:p>
    <w:p>
      <w:pPr>
        <w:spacing w:line="560" w:lineRule="exact"/>
        <w:ind w:firstLine="422" w:firstLineChars="200"/>
        <w:rPr>
          <w:rFonts w:hint="eastAsia" w:ascii="仿宋_GB2312" w:hAnsi="华文仿宋" w:cs="宋体"/>
          <w:szCs w:val="32"/>
          <w:shd w:val="clear" w:color="auto" w:fill="FFFFFF"/>
          <w:lang w:val="zh-CN"/>
        </w:rPr>
      </w:pPr>
      <w:r>
        <w:rPr>
          <w:rFonts w:hint="eastAsia" w:ascii="仿宋_GB2312" w:hAnsi="华文仿宋" w:cs="宋体"/>
          <w:b/>
          <w:bCs/>
          <w:szCs w:val="32"/>
          <w:shd w:val="clear" w:color="auto" w:fill="FFFFFF"/>
          <w:lang w:val="zh-CN"/>
        </w:rPr>
        <w:t>1.政府性债务管理情况。</w:t>
      </w:r>
      <w:r>
        <w:rPr>
          <w:rFonts w:hint="eastAsia" w:ascii="仿宋_GB2312" w:hAnsi="华文仿宋" w:cs="宋体"/>
          <w:szCs w:val="32"/>
          <w:shd w:val="clear" w:color="auto" w:fill="FFFFFF"/>
          <w:lang w:val="zh-CN"/>
        </w:rPr>
        <w:t>严格执行政府性债务相关规定，我单位2022年无政府性债务。</w:t>
      </w:r>
    </w:p>
    <w:p>
      <w:pPr>
        <w:spacing w:line="560" w:lineRule="exact"/>
        <w:ind w:firstLine="422" w:firstLineChars="200"/>
        <w:rPr>
          <w:rFonts w:hint="eastAsia" w:ascii="仿宋_GB2312" w:hAnsi="华文仿宋" w:cs="宋体"/>
          <w:szCs w:val="32"/>
          <w:shd w:val="clear" w:color="auto" w:fill="FFFFFF"/>
          <w:lang w:val="zh-CN"/>
        </w:rPr>
      </w:pPr>
      <w:r>
        <w:rPr>
          <w:rFonts w:hint="eastAsia" w:ascii="仿宋_GB2312" w:hAnsi="华文仿宋" w:cs="宋体"/>
          <w:b/>
          <w:bCs/>
          <w:szCs w:val="32"/>
          <w:shd w:val="clear" w:color="auto" w:fill="FFFFFF"/>
          <w:lang w:val="zh-CN"/>
        </w:rPr>
        <w:t>2.政府采购管理情况。</w:t>
      </w:r>
      <w:r>
        <w:rPr>
          <w:rFonts w:hint="eastAsia" w:ascii="仿宋_GB2312" w:hAnsi="华文仿宋" w:cs="宋体"/>
          <w:szCs w:val="32"/>
          <w:shd w:val="clear" w:color="auto" w:fill="FFFFFF"/>
          <w:lang w:val="zh-CN"/>
        </w:rPr>
        <w:t>严格遵守《中华人民共和国政府采购法》等政府采购相关法律法规，严格执行单位政府采购管理制度，对纳入政府采购项目必须实行政府采购，严格按照政府采购目录及相关规定确定政府采购组织形式与方式，加强政府采购内部监督管理，严格执行政府采购审批程序。</w:t>
      </w:r>
    </w:p>
    <w:p>
      <w:pPr>
        <w:spacing w:line="560" w:lineRule="exact"/>
        <w:ind w:firstLine="422" w:firstLineChars="200"/>
        <w:rPr>
          <w:rFonts w:hint="eastAsia" w:ascii="仿宋_GB2312" w:hAnsi="华文仿宋" w:cs="宋体"/>
          <w:szCs w:val="32"/>
          <w:shd w:val="clear" w:color="auto" w:fill="FFFFFF"/>
          <w:lang w:val="zh-CN"/>
        </w:rPr>
      </w:pPr>
      <w:r>
        <w:rPr>
          <w:rFonts w:hint="eastAsia" w:ascii="仿宋_GB2312" w:hAnsi="华文仿宋" w:cs="宋体"/>
          <w:b/>
          <w:bCs/>
          <w:szCs w:val="32"/>
          <w:shd w:val="clear" w:color="auto" w:fill="FFFFFF"/>
          <w:lang w:val="zh-CN"/>
        </w:rPr>
        <w:t>3.财务管理情况。</w:t>
      </w:r>
      <w:r>
        <w:rPr>
          <w:rFonts w:hint="eastAsia" w:ascii="仿宋_GB2312" w:hAnsi="华文仿宋" w:cs="宋体"/>
          <w:szCs w:val="32"/>
          <w:shd w:val="clear" w:color="auto" w:fill="FFFFFF"/>
          <w:lang w:val="zh-CN"/>
        </w:rPr>
        <w:t>严格执行《预算法》《政府会计制度》，建立财务管理制度，规范账务处理，确保会计凭证和财务报告的真实性和完整性。加强三公经费管理，严控三公经费支出，严把审批支付关。</w:t>
      </w:r>
    </w:p>
    <w:p>
      <w:pPr>
        <w:spacing w:line="560" w:lineRule="exact"/>
        <w:ind w:firstLine="422" w:firstLineChars="200"/>
        <w:rPr>
          <w:rFonts w:hint="eastAsia" w:ascii="仿宋_GB2312" w:hAnsi="华文仿宋" w:cs="宋体"/>
          <w:szCs w:val="32"/>
          <w:shd w:val="clear" w:color="auto" w:fill="FFFFFF"/>
          <w:lang w:val="zh-CN"/>
        </w:rPr>
      </w:pPr>
      <w:r>
        <w:rPr>
          <w:rFonts w:hint="eastAsia" w:ascii="仿宋_GB2312" w:hAnsi="华文仿宋" w:cs="宋体"/>
          <w:b/>
          <w:bCs/>
          <w:szCs w:val="32"/>
          <w:shd w:val="clear" w:color="auto" w:fill="FFFFFF"/>
          <w:lang w:val="zh-CN"/>
        </w:rPr>
        <w:t>4.资产管理情况。</w:t>
      </w:r>
      <w:r>
        <w:rPr>
          <w:rFonts w:hint="eastAsia" w:ascii="仿宋_GB2312" w:hAnsi="华文仿宋" w:cs="宋体"/>
          <w:szCs w:val="32"/>
          <w:shd w:val="clear" w:color="auto" w:fill="FFFFFF"/>
          <w:lang w:val="zh-CN"/>
        </w:rPr>
        <w:t>严格执行《事业单位国有资产管理暂行办法》（财政部令第36号），加强资产管理，建立资产管理制度，将各资产录入国有资产管理信息系统，分类建立资产卡片，实行资产动态管理。</w:t>
      </w:r>
    </w:p>
    <w:p>
      <w:pPr>
        <w:spacing w:line="560" w:lineRule="exact"/>
        <w:ind w:firstLine="422" w:firstLineChars="200"/>
        <w:rPr>
          <w:rFonts w:hint="eastAsia" w:ascii="仿宋_GB2312" w:hAnsi="华文仿宋" w:cs="宋体"/>
          <w:szCs w:val="32"/>
          <w:shd w:val="clear" w:color="auto" w:fill="FFFFFF"/>
          <w:lang w:val="zh-CN"/>
        </w:rPr>
      </w:pPr>
      <w:r>
        <w:rPr>
          <w:rFonts w:hint="eastAsia" w:ascii="仿宋_GB2312" w:hAnsi="华文仿宋" w:cs="宋体"/>
          <w:b/>
          <w:bCs/>
          <w:szCs w:val="32"/>
          <w:shd w:val="clear" w:color="auto" w:fill="FFFFFF"/>
          <w:lang w:val="zh-CN"/>
        </w:rPr>
        <w:t>5.信息公开情况。</w:t>
      </w:r>
      <w:r>
        <w:rPr>
          <w:rFonts w:hint="eastAsia" w:ascii="仿宋_GB2312" w:hAnsi="华文仿宋" w:cs="宋体"/>
          <w:szCs w:val="32"/>
          <w:shd w:val="clear" w:color="auto" w:fill="FFFFFF"/>
          <w:lang w:val="zh-CN"/>
        </w:rPr>
        <w:t>按照财政要求，及时在预决算批复后在</w:t>
      </w:r>
      <w:r>
        <w:rPr>
          <w:rFonts w:hint="eastAsia" w:ascii="仿宋_GB2312" w:hAnsi="华文仿宋" w:cs="宋体"/>
          <w:szCs w:val="32"/>
          <w:shd w:val="clear" w:color="auto" w:fill="FFFFFF"/>
        </w:rPr>
        <w:t>市财政及本单位官方</w:t>
      </w:r>
      <w:r>
        <w:rPr>
          <w:rFonts w:hint="eastAsia" w:ascii="仿宋_GB2312" w:hAnsi="华文仿宋" w:cs="宋体"/>
          <w:szCs w:val="32"/>
          <w:shd w:val="clear" w:color="auto" w:fill="FFFFFF"/>
          <w:lang w:val="zh-CN"/>
        </w:rPr>
        <w:t>网站上进行信息公开。</w:t>
      </w:r>
    </w:p>
    <w:p>
      <w:pPr>
        <w:spacing w:line="560" w:lineRule="exact"/>
        <w:ind w:firstLine="720"/>
        <w:rPr>
          <w:rFonts w:eastAsia="方正仿宋_GBK"/>
          <w:szCs w:val="32"/>
          <w:shd w:val="clear" w:color="auto" w:fill="FFFFFF"/>
          <w:lang w:val="zh-CN"/>
        </w:rPr>
      </w:pPr>
      <w:r>
        <w:rPr>
          <w:rFonts w:hint="eastAsia" w:ascii="仿宋_GB2312" w:hAnsi="华文仿宋" w:cs="宋体"/>
          <w:b/>
          <w:bCs/>
          <w:szCs w:val="32"/>
          <w:shd w:val="clear" w:color="auto" w:fill="FFFFFF"/>
          <w:lang w:val="zh-CN"/>
        </w:rPr>
        <w:t>6.依法接受财政、审计、纪检监察、巡察等部门的监督检查情况。</w:t>
      </w:r>
      <w:r>
        <w:rPr>
          <w:rFonts w:hint="eastAsia" w:ascii="仿宋_GB2312" w:hAnsi="华文仿宋" w:cs="宋体"/>
          <w:szCs w:val="32"/>
          <w:shd w:val="clear" w:color="auto" w:fill="FFFFFF"/>
          <w:lang w:val="zh-CN"/>
        </w:rPr>
        <w:t>严守财经法规，依法接受财政、审计、巡察等部门监督，按时上报所需资料。</w:t>
      </w:r>
    </w:p>
    <w:p>
      <w:pPr>
        <w:spacing w:line="560" w:lineRule="exact"/>
        <w:ind w:firstLine="720"/>
        <w:rPr>
          <w:rFonts w:ascii="方正楷体_GBK" w:eastAsia="方正楷体_GBK"/>
          <w:b/>
          <w:bCs/>
          <w:szCs w:val="32"/>
          <w:shd w:val="clear" w:color="auto" w:fill="FFFFFF"/>
          <w:lang w:val="zh-CN"/>
        </w:rPr>
      </w:pPr>
      <w:r>
        <w:rPr>
          <w:rFonts w:ascii="方正楷体_GBK" w:eastAsia="方正楷体_GBK"/>
          <w:b/>
          <w:bCs/>
          <w:szCs w:val="32"/>
          <w:shd w:val="clear" w:color="auto" w:fill="FFFFFF"/>
          <w:lang w:val="zh-CN"/>
        </w:rPr>
        <w:t>（四）综合绩效情况</w:t>
      </w:r>
    </w:p>
    <w:p>
      <w:pPr>
        <w:spacing w:line="560" w:lineRule="exact"/>
        <w:ind w:left="720" w:firstLine="211" w:firstLineChars="100"/>
        <w:rPr>
          <w:rFonts w:eastAsia="方正仿宋_GBK"/>
          <w:b/>
          <w:bCs/>
          <w:szCs w:val="32"/>
          <w:shd w:val="clear" w:color="auto" w:fill="FFFFFF"/>
          <w:lang w:val="zh-CN"/>
        </w:rPr>
      </w:pPr>
      <w:r>
        <w:rPr>
          <w:rFonts w:hint="eastAsia" w:eastAsia="方正仿宋_GBK"/>
          <w:b/>
          <w:bCs/>
          <w:szCs w:val="32"/>
          <w:shd w:val="clear" w:color="auto" w:fill="FFFFFF"/>
        </w:rPr>
        <w:t>1.</w:t>
      </w:r>
      <w:r>
        <w:rPr>
          <w:rFonts w:eastAsia="方正仿宋_GBK"/>
          <w:b/>
          <w:bCs/>
          <w:szCs w:val="32"/>
          <w:shd w:val="clear" w:color="auto" w:fill="FFFFFF"/>
          <w:lang w:val="zh-CN"/>
        </w:rPr>
        <w:t>部门职能完成情况</w:t>
      </w:r>
    </w:p>
    <w:p>
      <w:pPr>
        <w:spacing w:line="560" w:lineRule="exact"/>
        <w:ind w:firstLine="720"/>
        <w:rPr>
          <w:rFonts w:hint="eastAsia" w:ascii="华文仿宋" w:hAnsi="华文仿宋" w:eastAsia="华文仿宋" w:cs="宋体"/>
          <w:szCs w:val="32"/>
          <w:shd w:val="clear" w:color="auto" w:fill="FFFFFF"/>
        </w:rPr>
      </w:pPr>
      <w:r>
        <w:rPr>
          <w:rFonts w:hint="eastAsia" w:ascii="华文仿宋" w:hAnsi="华文仿宋" w:eastAsia="华文仿宋" w:cs="宋体"/>
          <w:szCs w:val="32"/>
          <w:shd w:val="clear" w:color="auto" w:fill="FFFFFF"/>
        </w:rPr>
        <w:t>（1）突出党建引领，凝聚发展合力。一是组织干部职工深入学习宣传贯彻习近平新时代中国特色社会主义思想和党的二十大精神、省第十二次党代会、市委五届三次、四次全会精神，坚决捍卫“两个确立”，切实增强“四个意识”、坚定“四个自信”、做到“两个维护”。二是认真落实党建工作责任，严格执行“三会一课”、主题党日活动、民主评议党员等党内组织生活制度，持续推进“机关病”专项整治，跟踪回访被抽检企业80家，集中约谈和个别谈心谈话90余人次。三是突出党建引领，精心组织实施“书记项目”，深入学校、社区开展“先锋护眼”行动40余人次。开展“党建+检验检测能力提升年”活动，组建技术攻坚团队，开发应用检验检测参数。</w:t>
      </w:r>
    </w:p>
    <w:p>
      <w:pPr>
        <w:spacing w:line="560" w:lineRule="exact"/>
        <w:ind w:firstLine="720"/>
        <w:rPr>
          <w:rFonts w:hint="eastAsia" w:ascii="华文仿宋" w:hAnsi="华文仿宋" w:eastAsia="华文仿宋" w:cs="宋体"/>
          <w:szCs w:val="32"/>
          <w:shd w:val="clear" w:color="auto" w:fill="FFFFFF"/>
        </w:rPr>
      </w:pPr>
      <w:r>
        <w:rPr>
          <w:rFonts w:hint="eastAsia" w:ascii="华文仿宋" w:hAnsi="华文仿宋" w:eastAsia="华文仿宋" w:cs="宋体"/>
          <w:szCs w:val="32"/>
          <w:shd w:val="clear" w:color="auto" w:fill="FFFFFF"/>
        </w:rPr>
        <w:t>（2）强化疫情防控，筑牢常态防线。一是压实疫情防控“四方责任”，常态化落实扫码、测温、登记等防控措施。二是严格落实疫情防控中高风险城市返巴和职工离市出省登记报告制度，建立全员核酸检测、健康监测台账。三是备足口罩、消毒液等防控物资，从严从实从细抓好单位疫情防控工作。四是组织党员干部职工60余人次下沉社区协助开展卡点值守、核酸检测和捐赠物资分装等疫情防控志愿服务。</w:t>
      </w:r>
    </w:p>
    <w:p>
      <w:pPr>
        <w:spacing w:line="560" w:lineRule="exact"/>
        <w:ind w:firstLine="720"/>
        <w:rPr>
          <w:rFonts w:hint="eastAsia" w:ascii="华文仿宋" w:hAnsi="华文仿宋" w:eastAsia="华文仿宋" w:cs="宋体"/>
          <w:szCs w:val="32"/>
          <w:shd w:val="clear" w:color="auto" w:fill="FFFFFF"/>
        </w:rPr>
      </w:pPr>
      <w:r>
        <w:rPr>
          <w:rFonts w:hint="eastAsia" w:ascii="华文仿宋" w:hAnsi="华文仿宋" w:eastAsia="华文仿宋" w:cs="宋体"/>
          <w:szCs w:val="32"/>
          <w:shd w:val="clear" w:color="auto" w:fill="FFFFFF"/>
        </w:rPr>
        <w:t>（3）加强能力建设，提高履职水平。一是引进硕士研究生2名，参加专业技能培训20余人次。二是开展检验检测能力提升年活动，开发应用检测参数56个。三是装修改造药品检验实验室530平方米，购置检测设备27台（套），顺利通过了检验检测机构资质扩项认证现场评审，新增检测参数110个。</w:t>
      </w:r>
    </w:p>
    <w:p>
      <w:pPr>
        <w:spacing w:line="560" w:lineRule="exact"/>
        <w:ind w:firstLine="720"/>
        <w:rPr>
          <w:rFonts w:hint="eastAsia" w:ascii="华文仿宋" w:hAnsi="华文仿宋" w:eastAsia="华文仿宋" w:cs="宋体"/>
          <w:szCs w:val="32"/>
          <w:shd w:val="clear" w:color="auto" w:fill="FFFFFF"/>
        </w:rPr>
      </w:pPr>
      <w:r>
        <w:rPr>
          <w:rFonts w:hint="eastAsia" w:ascii="华文仿宋" w:hAnsi="华文仿宋" w:eastAsia="华文仿宋" w:cs="宋体"/>
          <w:szCs w:val="32"/>
          <w:shd w:val="clear" w:color="auto" w:fill="FFFFFF"/>
        </w:rPr>
        <w:t>（4）聚焦主责主业，强化技术保障。一是承担省级药品监督抽检232批次，完成232批次，完成率100%。二是承担市级食品监督抽检任务700批次，完成700批次，完成率100%。三是承担省、市、区级重点工业产品监督抽检275批次，完成275批次，完成率100%。</w:t>
      </w:r>
    </w:p>
    <w:p>
      <w:pPr>
        <w:spacing w:line="560" w:lineRule="exact"/>
        <w:ind w:firstLine="420" w:firstLineChars="200"/>
        <w:rPr>
          <w:rFonts w:hint="eastAsia" w:ascii="华文仿宋" w:hAnsi="华文仿宋" w:eastAsia="华文仿宋" w:cs="宋体"/>
          <w:szCs w:val="32"/>
          <w:shd w:val="clear" w:color="auto" w:fill="FFFFFF"/>
        </w:rPr>
      </w:pPr>
      <w:r>
        <w:rPr>
          <w:rFonts w:hint="eastAsia" w:ascii="华文仿宋" w:hAnsi="华文仿宋" w:eastAsia="华文仿宋" w:cs="宋体"/>
          <w:szCs w:val="32"/>
          <w:shd w:val="clear" w:color="auto" w:fill="FFFFFF"/>
        </w:rPr>
        <w:t>（5）立足职能职责，深化技术服务。一是围绕“1+3”主导产业发展，深入生产经营企业调研，听取意见建议，技术指导服务20人次，接受社会委托检验320批次，减免费用11万余元。二是根据鹏凌市长4月15日在国药天江调研时主持召开的“企业问题清零行动”座谈会上安排，接受国药天江送检中药配方颗粒160批次，免费出具检验报告160份，减免费用约22万元。三是配合全市公安机关开展涉案食品、药品检验鉴定工作，市、县（区）公安机关送检食品、药品样品35个，出具检验报告35份，检出非法添加药品11批次，涉案金额达2.5亿元。</w:t>
      </w:r>
    </w:p>
    <w:p>
      <w:pPr>
        <w:spacing w:line="560" w:lineRule="exact"/>
        <w:ind w:firstLine="720"/>
        <w:rPr>
          <w:rFonts w:hint="eastAsia" w:ascii="华文仿宋" w:hAnsi="华文仿宋" w:eastAsia="华文仿宋" w:cs="宋体"/>
          <w:szCs w:val="32"/>
          <w:shd w:val="clear" w:color="auto" w:fill="FFFFFF"/>
        </w:rPr>
      </w:pPr>
      <w:r>
        <w:rPr>
          <w:rFonts w:hint="eastAsia" w:ascii="华文仿宋" w:hAnsi="华文仿宋" w:eastAsia="华文仿宋" w:cs="宋体"/>
          <w:szCs w:val="32"/>
          <w:shd w:val="clear" w:color="auto" w:fill="FFFFFF"/>
        </w:rPr>
        <w:t>（6）服务中心大局，主动担当作为。一是组织驻村工作队和帮扶干部完成挂联村126户防止返贫动态监测排查。二是筹措资金2万元用于撂荒地整治和村两委阵地建设，协调项目资金5万元硬化村社道路370米。三是深入包保社区开展新时代文明实践日活动，给社区解决资金2万元用于新时代文明实践站建设、开展创文宣传和提升市民素质。</w:t>
      </w:r>
    </w:p>
    <w:p>
      <w:pPr>
        <w:spacing w:line="560" w:lineRule="exact"/>
        <w:ind w:firstLine="720"/>
        <w:rPr>
          <w:rFonts w:eastAsia="方正仿宋_GBK"/>
          <w:b/>
          <w:bCs/>
          <w:szCs w:val="32"/>
          <w:shd w:val="clear" w:color="auto" w:fill="FFFFFF"/>
          <w:lang w:val="zh-CN"/>
        </w:rPr>
      </w:pPr>
      <w:r>
        <w:rPr>
          <w:rFonts w:hint="eastAsia" w:eastAsia="方正仿宋_GBK"/>
          <w:b/>
          <w:bCs/>
          <w:szCs w:val="32"/>
          <w:shd w:val="clear" w:color="auto" w:fill="FFFFFF"/>
        </w:rPr>
        <w:t>2.</w:t>
      </w:r>
      <w:r>
        <w:rPr>
          <w:rFonts w:eastAsia="方正仿宋_GBK"/>
          <w:b/>
          <w:bCs/>
          <w:szCs w:val="32"/>
          <w:shd w:val="clear" w:color="auto" w:fill="FFFFFF"/>
          <w:lang w:val="zh-CN"/>
        </w:rPr>
        <w:t>重点项目绩效评价结果</w:t>
      </w:r>
    </w:p>
    <w:p>
      <w:pPr>
        <w:spacing w:line="560" w:lineRule="exact"/>
        <w:ind w:firstLine="422" w:firstLineChars="200"/>
        <w:rPr>
          <w:rFonts w:hint="eastAsia" w:ascii="仿宋" w:hAnsi="仿宋" w:eastAsia="仿宋" w:cs="仿宋"/>
          <w:szCs w:val="32"/>
        </w:rPr>
      </w:pPr>
      <w:r>
        <w:rPr>
          <w:rFonts w:hint="eastAsia" w:ascii="方正仿宋_GBK" w:hAnsi="方正仿宋_GBK" w:eastAsia="方正仿宋_GBK" w:cs="方正仿宋_GBK"/>
          <w:b/>
          <w:bCs/>
          <w:szCs w:val="32"/>
          <w:shd w:val="clear" w:color="auto" w:fill="FFFFFF"/>
          <w:lang w:val="zh-CN"/>
        </w:rPr>
        <w:t>（</w:t>
      </w:r>
      <w:r>
        <w:rPr>
          <w:rFonts w:hint="eastAsia" w:ascii="方正仿宋_GBK" w:hAnsi="方正仿宋_GBK" w:eastAsia="方正仿宋_GBK" w:cs="方正仿宋_GBK"/>
          <w:b/>
          <w:bCs/>
          <w:szCs w:val="32"/>
          <w:shd w:val="clear" w:color="auto" w:fill="FFFFFF"/>
        </w:rPr>
        <w:t>1</w:t>
      </w:r>
      <w:r>
        <w:rPr>
          <w:rFonts w:hint="eastAsia" w:ascii="方正仿宋_GBK" w:hAnsi="方正仿宋_GBK" w:eastAsia="方正仿宋_GBK" w:cs="方正仿宋_GBK"/>
          <w:b/>
          <w:bCs/>
          <w:szCs w:val="32"/>
          <w:shd w:val="clear" w:color="auto" w:fill="FFFFFF"/>
          <w:lang w:val="zh-CN"/>
        </w:rPr>
        <w:t>）</w:t>
      </w:r>
      <w:r>
        <w:rPr>
          <w:rFonts w:hint="eastAsia" w:ascii="方正仿宋_GBK" w:hAnsi="方正仿宋_GBK" w:eastAsia="方正仿宋_GBK" w:cs="方正仿宋_GBK"/>
          <w:b/>
          <w:bCs/>
          <w:szCs w:val="32"/>
          <w:shd w:val="clear" w:color="auto" w:fill="FFFFFF"/>
        </w:rPr>
        <w:t>2022年市级食品监督抽验项目完成情况。</w:t>
      </w:r>
      <w:r>
        <w:rPr>
          <w:rFonts w:hint="eastAsia" w:ascii="仿宋" w:hAnsi="仿宋" w:eastAsia="仿宋" w:cs="仿宋"/>
          <w:szCs w:val="32"/>
        </w:rPr>
        <w:t>202</w:t>
      </w:r>
      <w:r>
        <w:rPr>
          <w:rFonts w:ascii="仿宋" w:hAnsi="仿宋" w:eastAsia="仿宋" w:cs="仿宋"/>
          <w:szCs w:val="32"/>
        </w:rPr>
        <w:t>2</w:t>
      </w:r>
      <w:r>
        <w:rPr>
          <w:rFonts w:hint="eastAsia" w:ascii="仿宋" w:hAnsi="仿宋" w:eastAsia="仿宋" w:cs="仿宋"/>
          <w:szCs w:val="32"/>
        </w:rPr>
        <w:t>年，市级食品监督抽检660批次、风险监测40批次，应检验食品</w:t>
      </w:r>
      <w:r>
        <w:rPr>
          <w:rFonts w:ascii="仿宋" w:hAnsi="仿宋" w:eastAsia="仿宋" w:cs="仿宋"/>
          <w:szCs w:val="32"/>
        </w:rPr>
        <w:t>700</w:t>
      </w:r>
      <w:r>
        <w:rPr>
          <w:rFonts w:hint="eastAsia" w:ascii="仿宋" w:hAnsi="仿宋" w:eastAsia="仿宋" w:cs="仿宋"/>
          <w:szCs w:val="32"/>
        </w:rPr>
        <w:t>批次（其中地方特色食品510批次、2021年度食品抽检不合格回头看专项4批次、校园周边食品专项121批次、脱贫地区食品安全专项65批次），</w:t>
      </w:r>
      <w:r>
        <w:rPr>
          <w:rFonts w:hint="eastAsia" w:ascii="仿宋" w:hAnsi="仿宋" w:eastAsia="仿宋" w:cs="仿宋"/>
          <w:szCs w:val="32"/>
          <w:lang w:eastAsia="zh-CN"/>
        </w:rPr>
        <w:t>在市</w:t>
      </w:r>
      <w:r>
        <w:rPr>
          <w:rFonts w:hint="eastAsia" w:ascii="仿宋" w:hAnsi="仿宋" w:eastAsia="仿宋"/>
          <w:szCs w:val="32"/>
        </w:rPr>
        <w:t>监局的组织和各县（区）局</w:t>
      </w:r>
      <w:r>
        <w:rPr>
          <w:rFonts w:hint="eastAsia" w:ascii="仿宋" w:hAnsi="仿宋" w:eastAsia="仿宋"/>
          <w:szCs w:val="32"/>
          <w:lang w:eastAsia="zh-CN"/>
        </w:rPr>
        <w:t>的支持</w:t>
      </w:r>
      <w:r>
        <w:rPr>
          <w:rFonts w:hint="eastAsia" w:ascii="仿宋" w:hAnsi="仿宋" w:eastAsia="仿宋"/>
          <w:szCs w:val="32"/>
        </w:rPr>
        <w:t>配合下，按照抽检实施方案要求，于202</w:t>
      </w:r>
      <w:r>
        <w:rPr>
          <w:rFonts w:ascii="仿宋" w:hAnsi="仿宋" w:eastAsia="仿宋"/>
          <w:szCs w:val="32"/>
        </w:rPr>
        <w:t>2</w:t>
      </w:r>
      <w:r>
        <w:rPr>
          <w:rFonts w:hint="eastAsia" w:ascii="仿宋" w:hAnsi="仿宋" w:eastAsia="仿宋"/>
          <w:szCs w:val="32"/>
        </w:rPr>
        <w:t>年1</w:t>
      </w:r>
      <w:r>
        <w:rPr>
          <w:rFonts w:ascii="仿宋" w:hAnsi="仿宋" w:eastAsia="仿宋"/>
          <w:szCs w:val="32"/>
        </w:rPr>
        <w:t>0</w:t>
      </w:r>
      <w:r>
        <w:rPr>
          <w:rFonts w:hint="eastAsia" w:ascii="仿宋" w:hAnsi="仿宋" w:eastAsia="仿宋"/>
          <w:szCs w:val="32"/>
        </w:rPr>
        <w:t>月顺利完成了巴中市区域内的食品生产、餐饮、流通环节的监督抽检工作。在抽检过程中严格遵守《食品安全法》等相关法律，严格执行《国家食品安全抽样检验管理办法》《食品检验工作规范》等规范制度，依据法定有效的检验标准和检验方法，对抽检的食品实行了规范严格的检验检测，确保抽检时效性、规范性和检验数据结果的准确性、公正性。</w:t>
      </w:r>
      <w:r>
        <w:rPr>
          <w:rFonts w:hint="eastAsia" w:ascii="仿宋" w:hAnsi="仿宋" w:eastAsia="仿宋" w:cs="仿宋"/>
          <w:szCs w:val="32"/>
        </w:rPr>
        <w:t>全年工作体现三个特点：一是领导重视，精心组织，明确目标，落实责任;二是积极探索科学抽样模式，细化抽验任务，认真做好市级食品抽验工作;三是统筹协调，层层落实，充分准备，重视流程。巴中市各区县抽检计划和实际完成情况详见表1。</w:t>
      </w:r>
    </w:p>
    <w:tbl>
      <w:tblPr>
        <w:tblStyle w:val="14"/>
        <w:tblpPr w:leftFromText="180" w:rightFromText="180" w:vertAnchor="text" w:horzAnchor="page" w:tblpXSpec="center" w:tblpY="544"/>
        <w:tblOverlap w:val="never"/>
        <w:tblW w:w="5000" w:type="pct"/>
        <w:jc w:val="center"/>
        <w:tblLayout w:type="autofit"/>
        <w:tblCellMar>
          <w:top w:w="0" w:type="dxa"/>
          <w:left w:w="108" w:type="dxa"/>
          <w:bottom w:w="0" w:type="dxa"/>
          <w:right w:w="108" w:type="dxa"/>
        </w:tblCellMar>
      </w:tblPr>
      <w:tblGrid>
        <w:gridCol w:w="393"/>
        <w:gridCol w:w="393"/>
        <w:gridCol w:w="570"/>
        <w:gridCol w:w="746"/>
        <w:gridCol w:w="484"/>
        <w:gridCol w:w="484"/>
        <w:gridCol w:w="484"/>
        <w:gridCol w:w="484"/>
        <w:gridCol w:w="484"/>
        <w:gridCol w:w="395"/>
        <w:gridCol w:w="484"/>
        <w:gridCol w:w="395"/>
        <w:gridCol w:w="484"/>
        <w:gridCol w:w="484"/>
        <w:gridCol w:w="484"/>
        <w:gridCol w:w="484"/>
        <w:gridCol w:w="395"/>
        <w:gridCol w:w="395"/>
      </w:tblGrid>
      <w:tr>
        <w:tblPrEx>
          <w:tblCellMar>
            <w:top w:w="0" w:type="dxa"/>
            <w:left w:w="108" w:type="dxa"/>
            <w:bottom w:w="0" w:type="dxa"/>
            <w:right w:w="108" w:type="dxa"/>
          </w:tblCellMar>
        </w:tblPrEx>
        <w:trPr>
          <w:trHeight w:val="331" w:hRule="atLeast"/>
          <w:tblHeader/>
          <w:jc w:val="center"/>
        </w:trPr>
        <w:tc>
          <w:tcPr>
            <w:tcW w:w="221" w:type="pct"/>
            <w:vMerge w:val="restar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textAlignment w:val="center"/>
              <w:rPr>
                <w:rFonts w:hint="eastAsia" w:ascii="宋体" w:hAnsi="宋体" w:cs="宋体"/>
                <w:b/>
                <w:bCs/>
                <w:sz w:val="18"/>
                <w:szCs w:val="18"/>
              </w:rPr>
            </w:pPr>
            <w:r>
              <w:rPr>
                <w:rFonts w:hint="eastAsia" w:ascii="宋体" w:hAnsi="宋体" w:cs="宋体"/>
                <w:b/>
                <w:bCs/>
                <w:kern w:val="0"/>
                <w:sz w:val="18"/>
                <w:szCs w:val="18"/>
                <w:lang w:bidi="ar"/>
              </w:rPr>
              <w:t>序号</w:t>
            </w:r>
          </w:p>
        </w:tc>
        <w:tc>
          <w:tcPr>
            <w:tcW w:w="221" w:type="pct"/>
            <w:vMerge w:val="restart"/>
            <w:tcBorders>
              <w:top w:val="single" w:color="000000" w:sz="8" w:space="0"/>
              <w:left w:val="nil"/>
              <w:bottom w:val="single" w:color="000000" w:sz="8" w:space="0"/>
              <w:right w:val="single" w:color="000000" w:sz="8" w:space="0"/>
            </w:tcBorders>
            <w:noWrap w:val="0"/>
            <w:vAlign w:val="center"/>
          </w:tcPr>
          <w:p>
            <w:pPr>
              <w:widowControl/>
              <w:spacing w:line="200" w:lineRule="exact"/>
              <w:textAlignment w:val="center"/>
              <w:rPr>
                <w:rFonts w:hint="eastAsia" w:ascii="宋体" w:hAnsi="宋体" w:cs="宋体"/>
                <w:b/>
                <w:bCs/>
                <w:sz w:val="18"/>
                <w:szCs w:val="18"/>
              </w:rPr>
            </w:pPr>
            <w:r>
              <w:rPr>
                <w:rFonts w:hint="eastAsia" w:ascii="宋体" w:hAnsi="宋体" w:cs="宋体"/>
                <w:b/>
                <w:bCs/>
                <w:kern w:val="0"/>
                <w:sz w:val="18"/>
                <w:szCs w:val="18"/>
                <w:lang w:bidi="ar"/>
              </w:rPr>
              <w:t>类别</w:t>
            </w:r>
          </w:p>
        </w:tc>
        <w:tc>
          <w:tcPr>
            <w:tcW w:w="341" w:type="pct"/>
            <w:vMerge w:val="restart"/>
            <w:tcBorders>
              <w:top w:val="single" w:color="000000" w:sz="8" w:space="0"/>
              <w:left w:val="nil"/>
              <w:bottom w:val="single" w:color="000000" w:sz="8" w:space="0"/>
              <w:right w:val="single" w:color="000000" w:sz="8" w:space="0"/>
            </w:tcBorders>
            <w:noWrap w:val="0"/>
            <w:vAlign w:val="center"/>
          </w:tcPr>
          <w:p>
            <w:pPr>
              <w:widowControl/>
              <w:spacing w:line="200" w:lineRule="exact"/>
              <w:textAlignment w:val="center"/>
              <w:rPr>
                <w:rFonts w:hint="eastAsia" w:ascii="宋体" w:hAnsi="宋体" w:cs="宋体"/>
                <w:b/>
                <w:bCs/>
                <w:sz w:val="18"/>
                <w:szCs w:val="18"/>
              </w:rPr>
            </w:pPr>
            <w:r>
              <w:rPr>
                <w:rFonts w:hint="eastAsia" w:ascii="宋体" w:hAnsi="宋体" w:cs="宋体"/>
                <w:b/>
                <w:bCs/>
                <w:kern w:val="0"/>
                <w:sz w:val="18"/>
                <w:szCs w:val="18"/>
                <w:lang w:bidi="ar"/>
              </w:rPr>
              <w:t>食品大类（一级）</w:t>
            </w:r>
          </w:p>
        </w:tc>
        <w:tc>
          <w:tcPr>
            <w:tcW w:w="476" w:type="pct"/>
            <w:vMerge w:val="restart"/>
            <w:tcBorders>
              <w:top w:val="single" w:color="000000" w:sz="8" w:space="0"/>
              <w:left w:val="nil"/>
              <w:bottom w:val="single" w:color="000000" w:sz="8" w:space="0"/>
              <w:right w:val="single" w:color="000000" w:sz="8" w:space="0"/>
            </w:tcBorders>
            <w:noWrap w:val="0"/>
            <w:vAlign w:val="center"/>
          </w:tcPr>
          <w:p>
            <w:pPr>
              <w:widowControl/>
              <w:spacing w:line="200" w:lineRule="exact"/>
              <w:textAlignment w:val="center"/>
              <w:rPr>
                <w:rFonts w:hint="eastAsia" w:ascii="宋体" w:hAnsi="宋体" w:cs="宋体"/>
                <w:b/>
                <w:bCs/>
                <w:sz w:val="18"/>
                <w:szCs w:val="18"/>
              </w:rPr>
            </w:pPr>
            <w:r>
              <w:rPr>
                <w:rFonts w:hint="eastAsia" w:ascii="宋体" w:hAnsi="宋体" w:cs="宋体"/>
                <w:b/>
                <w:bCs/>
                <w:kern w:val="0"/>
                <w:sz w:val="18"/>
                <w:szCs w:val="18"/>
                <w:lang w:bidi="ar"/>
              </w:rPr>
              <w:t>食品细类（四级）</w:t>
            </w:r>
          </w:p>
        </w:tc>
        <w:tc>
          <w:tcPr>
            <w:tcW w:w="277" w:type="pct"/>
            <w:vMerge w:val="restar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kern w:val="0"/>
                <w:sz w:val="18"/>
                <w:szCs w:val="18"/>
                <w:lang w:bidi="ar"/>
              </w:rPr>
              <w:t>计划批次</w:t>
            </w:r>
          </w:p>
        </w:tc>
        <w:tc>
          <w:tcPr>
            <w:tcW w:w="284" w:type="pct"/>
            <w:vMerge w:val="restar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kern w:val="0"/>
                <w:sz w:val="18"/>
                <w:szCs w:val="18"/>
                <w:lang w:bidi="ar"/>
              </w:rPr>
              <w:t>实际完成合计</w:t>
            </w:r>
          </w:p>
        </w:tc>
        <w:tc>
          <w:tcPr>
            <w:tcW w:w="3176" w:type="pct"/>
            <w:gridSpan w:val="12"/>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kern w:val="0"/>
                <w:sz w:val="18"/>
                <w:szCs w:val="18"/>
                <w:lang w:bidi="ar"/>
              </w:rPr>
              <w:t>区域安排</w:t>
            </w:r>
          </w:p>
        </w:tc>
      </w:tr>
      <w:tr>
        <w:tblPrEx>
          <w:tblCellMar>
            <w:top w:w="0" w:type="dxa"/>
            <w:left w:w="108" w:type="dxa"/>
            <w:bottom w:w="0" w:type="dxa"/>
            <w:right w:w="108" w:type="dxa"/>
          </w:tblCellMar>
        </w:tblPrEx>
        <w:trPr>
          <w:trHeight w:val="646" w:hRule="atLeast"/>
          <w:tblHeader/>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rPr>
                <w:rFonts w:hint="eastAsia" w:ascii="宋体" w:hAnsi="宋体" w:cs="宋体"/>
                <w:b/>
                <w:bCs/>
                <w:sz w:val="18"/>
                <w:szCs w:val="18"/>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rPr>
                <w:rFonts w:hint="eastAsia" w:ascii="宋体" w:hAnsi="宋体" w:cs="宋体"/>
                <w:b/>
                <w:bCs/>
                <w:sz w:val="18"/>
                <w:szCs w:val="18"/>
              </w:rPr>
            </w:pPr>
          </w:p>
        </w:tc>
        <w:tc>
          <w:tcPr>
            <w:tcW w:w="34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rPr>
                <w:rFonts w:hint="eastAsia" w:ascii="宋体" w:hAnsi="宋体" w:cs="宋体"/>
                <w:b/>
                <w:bCs/>
                <w:sz w:val="18"/>
                <w:szCs w:val="18"/>
              </w:rPr>
            </w:pPr>
          </w:p>
        </w:tc>
        <w:tc>
          <w:tcPr>
            <w:tcW w:w="476"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rPr>
                <w:rFonts w:hint="eastAsia" w:ascii="宋体" w:hAnsi="宋体" w:cs="宋体"/>
                <w:b/>
                <w:bCs/>
                <w:sz w:val="18"/>
                <w:szCs w:val="18"/>
              </w:rPr>
            </w:pPr>
          </w:p>
        </w:tc>
        <w:tc>
          <w:tcPr>
            <w:tcW w:w="277"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rPr>
                <w:rFonts w:hint="eastAsia" w:ascii="宋体" w:hAnsi="宋体" w:cs="宋体"/>
                <w:b/>
                <w:bCs/>
                <w:sz w:val="18"/>
                <w:szCs w:val="18"/>
              </w:rPr>
            </w:pPr>
          </w:p>
        </w:tc>
        <w:tc>
          <w:tcPr>
            <w:tcW w:w="284"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rPr>
                <w:rFonts w:hint="eastAsia" w:ascii="宋体" w:hAnsi="宋体" w:cs="宋体"/>
                <w:b/>
                <w:bCs/>
                <w:sz w:val="18"/>
                <w:szCs w:val="18"/>
              </w:rPr>
            </w:pPr>
          </w:p>
        </w:tc>
        <w:tc>
          <w:tcPr>
            <w:tcW w:w="561" w:type="pct"/>
            <w:gridSpan w:val="2"/>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kern w:val="0"/>
                <w:sz w:val="18"/>
                <w:szCs w:val="18"/>
                <w:lang w:bidi="ar"/>
              </w:rPr>
              <w:t>巴州区</w:t>
            </w:r>
          </w:p>
        </w:tc>
        <w:tc>
          <w:tcPr>
            <w:tcW w:w="513" w:type="pct"/>
            <w:gridSpan w:val="2"/>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kern w:val="0"/>
                <w:sz w:val="18"/>
                <w:szCs w:val="18"/>
                <w:lang w:bidi="ar"/>
              </w:rPr>
              <w:t>恩阳区</w:t>
            </w:r>
          </w:p>
        </w:tc>
        <w:tc>
          <w:tcPr>
            <w:tcW w:w="513" w:type="pct"/>
            <w:gridSpan w:val="2"/>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kern w:val="0"/>
                <w:sz w:val="18"/>
                <w:szCs w:val="18"/>
                <w:lang w:bidi="ar"/>
              </w:rPr>
              <w:t>南江县</w:t>
            </w:r>
          </w:p>
        </w:tc>
        <w:tc>
          <w:tcPr>
            <w:tcW w:w="561" w:type="pct"/>
            <w:gridSpan w:val="2"/>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kern w:val="0"/>
                <w:sz w:val="18"/>
                <w:szCs w:val="18"/>
                <w:lang w:bidi="ar"/>
              </w:rPr>
              <w:t>通江县</w:t>
            </w:r>
          </w:p>
        </w:tc>
        <w:tc>
          <w:tcPr>
            <w:tcW w:w="561" w:type="pct"/>
            <w:gridSpan w:val="2"/>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kern w:val="0"/>
                <w:sz w:val="18"/>
                <w:szCs w:val="18"/>
                <w:lang w:bidi="ar"/>
              </w:rPr>
              <w:t>平昌县</w:t>
            </w:r>
          </w:p>
        </w:tc>
        <w:tc>
          <w:tcPr>
            <w:tcW w:w="464" w:type="pct"/>
            <w:gridSpan w:val="2"/>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kern w:val="0"/>
                <w:sz w:val="18"/>
                <w:szCs w:val="18"/>
                <w:lang w:bidi="ar"/>
              </w:rPr>
              <w:t>经开区</w:t>
            </w:r>
          </w:p>
        </w:tc>
      </w:tr>
      <w:tr>
        <w:tblPrEx>
          <w:tblCellMar>
            <w:top w:w="0" w:type="dxa"/>
            <w:left w:w="108" w:type="dxa"/>
            <w:bottom w:w="0" w:type="dxa"/>
            <w:right w:w="108" w:type="dxa"/>
          </w:tblCellMar>
        </w:tblPrEx>
        <w:trPr>
          <w:trHeight w:val="1886" w:hRule="atLeast"/>
          <w:tblHeader/>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rPr>
                <w:rFonts w:hint="eastAsia" w:ascii="宋体" w:hAnsi="宋体" w:cs="宋体"/>
                <w:b/>
                <w:bCs/>
                <w:sz w:val="18"/>
                <w:szCs w:val="18"/>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rPr>
                <w:rFonts w:hint="eastAsia" w:ascii="宋体" w:hAnsi="宋体" w:cs="宋体"/>
                <w:b/>
                <w:bCs/>
                <w:sz w:val="18"/>
                <w:szCs w:val="18"/>
              </w:rPr>
            </w:pPr>
          </w:p>
        </w:tc>
        <w:tc>
          <w:tcPr>
            <w:tcW w:w="34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rPr>
                <w:rFonts w:hint="eastAsia" w:ascii="宋体" w:hAnsi="宋体" w:cs="宋体"/>
                <w:b/>
                <w:bCs/>
                <w:sz w:val="18"/>
                <w:szCs w:val="18"/>
              </w:rPr>
            </w:pPr>
          </w:p>
        </w:tc>
        <w:tc>
          <w:tcPr>
            <w:tcW w:w="476"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rPr>
                <w:rFonts w:hint="eastAsia" w:ascii="宋体" w:hAnsi="宋体" w:cs="宋体"/>
                <w:b/>
                <w:bCs/>
                <w:sz w:val="18"/>
                <w:szCs w:val="18"/>
              </w:rPr>
            </w:pPr>
          </w:p>
        </w:tc>
        <w:tc>
          <w:tcPr>
            <w:tcW w:w="277"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rPr>
                <w:rFonts w:hint="eastAsia" w:ascii="宋体" w:hAnsi="宋体" w:cs="宋体"/>
                <w:b/>
                <w:bCs/>
                <w:sz w:val="18"/>
                <w:szCs w:val="18"/>
              </w:rPr>
            </w:pPr>
          </w:p>
        </w:tc>
        <w:tc>
          <w:tcPr>
            <w:tcW w:w="284"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rPr>
                <w:rFonts w:hint="eastAsia" w:ascii="宋体" w:hAnsi="宋体" w:cs="宋体"/>
                <w:b/>
                <w:bCs/>
                <w:sz w:val="18"/>
                <w:szCs w:val="18"/>
              </w:rPr>
            </w:pP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kern w:val="0"/>
                <w:sz w:val="18"/>
                <w:szCs w:val="18"/>
                <w:lang w:bidi="ar"/>
              </w:rPr>
              <w:t>计划批次</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kern w:val="0"/>
                <w:sz w:val="18"/>
                <w:szCs w:val="18"/>
                <w:lang w:bidi="ar"/>
              </w:rPr>
              <w:t>实际完成批次</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kern w:val="0"/>
                <w:sz w:val="18"/>
                <w:szCs w:val="18"/>
                <w:lang w:bidi="ar"/>
              </w:rPr>
              <w:t>计划批次</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kern w:val="0"/>
                <w:sz w:val="18"/>
                <w:szCs w:val="18"/>
                <w:lang w:bidi="ar"/>
              </w:rPr>
              <w:t>实际完成批次</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kern w:val="0"/>
                <w:sz w:val="18"/>
                <w:szCs w:val="18"/>
                <w:lang w:bidi="ar"/>
              </w:rPr>
              <w:t>计划批次</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kern w:val="0"/>
                <w:sz w:val="18"/>
                <w:szCs w:val="18"/>
                <w:lang w:bidi="ar"/>
              </w:rPr>
              <w:t>实际完成批次</w:t>
            </w:r>
          </w:p>
        </w:tc>
        <w:tc>
          <w:tcPr>
            <w:tcW w:w="277"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kern w:val="0"/>
                <w:sz w:val="18"/>
                <w:szCs w:val="18"/>
                <w:lang w:bidi="ar"/>
              </w:rPr>
              <w:t>计划批次</w:t>
            </w:r>
          </w:p>
        </w:tc>
        <w:tc>
          <w:tcPr>
            <w:tcW w:w="284"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kern w:val="0"/>
                <w:sz w:val="18"/>
                <w:szCs w:val="18"/>
                <w:lang w:bidi="ar"/>
              </w:rPr>
              <w:t>实际完成批次</w:t>
            </w:r>
          </w:p>
        </w:tc>
        <w:tc>
          <w:tcPr>
            <w:tcW w:w="277"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kern w:val="0"/>
                <w:sz w:val="18"/>
                <w:szCs w:val="18"/>
                <w:lang w:bidi="ar"/>
              </w:rPr>
              <w:t>计划批次</w:t>
            </w:r>
          </w:p>
        </w:tc>
        <w:tc>
          <w:tcPr>
            <w:tcW w:w="284"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kern w:val="0"/>
                <w:sz w:val="18"/>
                <w:szCs w:val="18"/>
                <w:lang w:bidi="ar"/>
              </w:rPr>
              <w:t>实际完成批次</w:t>
            </w:r>
          </w:p>
        </w:tc>
        <w:tc>
          <w:tcPr>
            <w:tcW w:w="229"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kern w:val="0"/>
                <w:sz w:val="18"/>
                <w:szCs w:val="18"/>
                <w:lang w:bidi="ar"/>
              </w:rPr>
              <w:t>计划批次</w:t>
            </w:r>
          </w:p>
        </w:tc>
        <w:tc>
          <w:tcPr>
            <w:tcW w:w="235"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kern w:val="0"/>
                <w:sz w:val="18"/>
                <w:szCs w:val="18"/>
                <w:lang w:bidi="ar"/>
              </w:rPr>
              <w:t>实际完成批次</w:t>
            </w:r>
          </w:p>
        </w:tc>
      </w:tr>
      <w:tr>
        <w:tblPrEx>
          <w:tblCellMar>
            <w:top w:w="0" w:type="dxa"/>
            <w:left w:w="108" w:type="dxa"/>
            <w:bottom w:w="0" w:type="dxa"/>
            <w:right w:w="108" w:type="dxa"/>
          </w:tblCellMar>
        </w:tblPrEx>
        <w:trPr>
          <w:trHeight w:val="331" w:hRule="atLeast"/>
          <w:jc w:val="center"/>
        </w:trPr>
        <w:tc>
          <w:tcPr>
            <w:tcW w:w="1261" w:type="pct"/>
            <w:gridSpan w:val="4"/>
            <w:tcBorders>
              <w:top w:val="nil"/>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kern w:val="0"/>
                <w:sz w:val="18"/>
                <w:szCs w:val="18"/>
                <w:lang w:bidi="ar"/>
              </w:rPr>
              <w:t>合计</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700</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700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144</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sz w:val="18"/>
                <w:szCs w:val="18"/>
                <w:lang w:val="en"/>
              </w:rPr>
            </w:pPr>
            <w:r>
              <w:rPr>
                <w:rFonts w:ascii="宋体" w:hAnsi="宋体" w:cs="宋体"/>
                <w:b/>
                <w:bCs/>
                <w:sz w:val="18"/>
                <w:szCs w:val="18"/>
                <w:lang w:val="en"/>
              </w:rPr>
              <w:t>197</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136</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sz w:val="18"/>
                <w:szCs w:val="18"/>
                <w:lang w:val="en"/>
              </w:rPr>
            </w:pPr>
            <w:r>
              <w:rPr>
                <w:rFonts w:ascii="宋体" w:hAnsi="宋体" w:cs="宋体"/>
                <w:b/>
                <w:bCs/>
                <w:sz w:val="18"/>
                <w:szCs w:val="18"/>
                <w:lang w:val="en"/>
              </w:rPr>
              <w:t>83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119</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sz w:val="18"/>
                <w:szCs w:val="18"/>
                <w:lang w:val="en"/>
              </w:rPr>
            </w:pPr>
            <w:r>
              <w:rPr>
                <w:rFonts w:ascii="宋体" w:hAnsi="宋体" w:cs="宋体"/>
                <w:b/>
                <w:bCs/>
                <w:sz w:val="18"/>
                <w:szCs w:val="18"/>
                <w:lang w:val="en"/>
              </w:rPr>
              <w:t>88</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119</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sz w:val="18"/>
                <w:szCs w:val="18"/>
                <w:lang w:val="en"/>
              </w:rPr>
            </w:pPr>
            <w:r>
              <w:rPr>
                <w:rFonts w:ascii="宋体" w:hAnsi="宋体" w:cs="宋体"/>
                <w:b/>
                <w:bCs/>
                <w:sz w:val="18"/>
                <w:szCs w:val="18"/>
                <w:lang w:val="en"/>
              </w:rPr>
              <w:t>160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132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sz w:val="18"/>
                <w:szCs w:val="18"/>
                <w:lang w:val="en"/>
              </w:rPr>
            </w:pPr>
            <w:r>
              <w:rPr>
                <w:rFonts w:ascii="宋体" w:hAnsi="宋体" w:cs="宋体"/>
                <w:b/>
                <w:bCs/>
                <w:sz w:val="18"/>
                <w:szCs w:val="18"/>
                <w:lang w:val="en"/>
              </w:rPr>
              <w:t>119</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50</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sz w:val="18"/>
                <w:szCs w:val="18"/>
                <w:lang w:val="en"/>
              </w:rPr>
            </w:pPr>
            <w:r>
              <w:rPr>
                <w:rFonts w:ascii="宋体" w:hAnsi="宋体" w:cs="宋体"/>
                <w:b/>
                <w:bCs/>
                <w:sz w:val="18"/>
                <w:szCs w:val="18"/>
                <w:lang w:val="en"/>
              </w:rPr>
              <w:t>53</w:t>
            </w:r>
          </w:p>
        </w:tc>
      </w:tr>
      <w:tr>
        <w:tblPrEx>
          <w:tblCellMar>
            <w:top w:w="0" w:type="dxa"/>
            <w:left w:w="108" w:type="dxa"/>
            <w:bottom w:w="0" w:type="dxa"/>
            <w:right w:w="108" w:type="dxa"/>
          </w:tblCellMar>
        </w:tblPrEx>
        <w:trPr>
          <w:trHeight w:val="331" w:hRule="atLeast"/>
          <w:jc w:val="center"/>
        </w:trPr>
        <w:tc>
          <w:tcPr>
            <w:tcW w:w="221" w:type="pct"/>
            <w:vMerge w:val="restart"/>
            <w:tcBorders>
              <w:top w:val="nil"/>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p>
            <w:pPr>
              <w:widowControl/>
              <w:spacing w:line="200" w:lineRule="exact"/>
              <w:jc w:val="center"/>
              <w:textAlignment w:val="center"/>
              <w:rPr>
                <w:rFonts w:hint="eastAsia" w:ascii="宋体" w:hAnsi="宋体" w:cs="宋体"/>
                <w:sz w:val="18"/>
                <w:szCs w:val="18"/>
              </w:rPr>
            </w:pPr>
            <w:r>
              <w:rPr>
                <w:rFonts w:hint="eastAsia" w:ascii="宋体" w:hAnsi="宋体" w:cs="宋体"/>
                <w:b/>
                <w:bCs/>
                <w:kern w:val="0"/>
                <w:sz w:val="18"/>
                <w:szCs w:val="18"/>
                <w:lang w:bidi="ar"/>
              </w:rPr>
              <w:t>1</w:t>
            </w:r>
          </w:p>
        </w:tc>
        <w:tc>
          <w:tcPr>
            <w:tcW w:w="221" w:type="pct"/>
            <w:vMerge w:val="restart"/>
            <w:tcBorders>
              <w:top w:val="nil"/>
              <w:left w:val="single" w:color="000000" w:sz="8" w:space="0"/>
              <w:bottom w:val="single" w:color="000000" w:sz="8" w:space="0"/>
              <w:right w:val="single" w:color="000000" w:sz="8" w:space="0"/>
            </w:tcBorders>
            <w:noWrap w:val="0"/>
            <w:vAlign w:val="center"/>
          </w:tcPr>
          <w:p>
            <w:pPr>
              <w:widowControl/>
              <w:spacing w:line="200" w:lineRule="exact"/>
              <w:textAlignment w:val="center"/>
              <w:rPr>
                <w:rFonts w:hint="eastAsia" w:ascii="宋体" w:hAnsi="宋体" w:cs="宋体"/>
                <w:kern w:val="0"/>
                <w:sz w:val="18"/>
                <w:szCs w:val="18"/>
                <w:lang w:bidi="ar"/>
              </w:rPr>
            </w:pPr>
          </w:p>
          <w:p>
            <w:pPr>
              <w:widowControl/>
              <w:spacing w:line="200" w:lineRule="exact"/>
              <w:textAlignment w:val="center"/>
              <w:rPr>
                <w:rFonts w:hint="eastAsia" w:ascii="宋体" w:hAnsi="宋体" w:cs="宋体"/>
                <w:kern w:val="0"/>
                <w:sz w:val="18"/>
                <w:szCs w:val="18"/>
                <w:lang w:bidi="ar"/>
              </w:rPr>
            </w:pPr>
          </w:p>
          <w:p>
            <w:pPr>
              <w:pStyle w:val="5"/>
              <w:spacing w:after="0" w:line="200" w:lineRule="exact"/>
              <w:rPr>
                <w:rFonts w:hint="eastAsia" w:ascii="宋体" w:hAnsi="宋体" w:cs="宋体"/>
                <w:kern w:val="0"/>
                <w:sz w:val="18"/>
                <w:szCs w:val="18"/>
                <w:lang w:bidi="ar"/>
              </w:rPr>
            </w:pPr>
          </w:p>
          <w:p>
            <w:pPr>
              <w:spacing w:line="200" w:lineRule="exact"/>
              <w:rPr>
                <w:rFonts w:hint="eastAsia" w:ascii="宋体" w:hAnsi="宋体" w:cs="宋体"/>
                <w:kern w:val="0"/>
                <w:sz w:val="18"/>
                <w:szCs w:val="18"/>
                <w:lang w:bidi="ar"/>
              </w:rPr>
            </w:pPr>
          </w:p>
          <w:p>
            <w:pPr>
              <w:pStyle w:val="5"/>
              <w:spacing w:after="0" w:line="200" w:lineRule="exact"/>
              <w:rPr>
                <w:rFonts w:hint="eastAsia"/>
                <w:sz w:val="18"/>
                <w:szCs w:val="18"/>
              </w:rPr>
            </w:pPr>
          </w:p>
          <w:p>
            <w:pPr>
              <w:spacing w:line="200" w:lineRule="exact"/>
              <w:rPr>
                <w:rFonts w:hint="eastAsia" w:ascii="宋体" w:hAnsi="宋体" w:cs="宋体"/>
                <w:kern w:val="0"/>
                <w:sz w:val="18"/>
                <w:szCs w:val="18"/>
                <w:lang w:bidi="ar"/>
              </w:rPr>
            </w:pPr>
          </w:p>
          <w:p>
            <w:pPr>
              <w:pStyle w:val="5"/>
              <w:spacing w:after="0" w:line="200" w:lineRule="exact"/>
              <w:rPr>
                <w:rFonts w:hint="eastAsia"/>
                <w:sz w:val="18"/>
                <w:szCs w:val="18"/>
              </w:rPr>
            </w:pPr>
          </w:p>
          <w:p>
            <w:pPr>
              <w:widowControl/>
              <w:spacing w:line="200" w:lineRule="exact"/>
              <w:textAlignment w:val="center"/>
              <w:rPr>
                <w:rFonts w:hint="eastAsia" w:ascii="宋体" w:hAnsi="宋体" w:cs="宋体"/>
                <w:kern w:val="0"/>
                <w:sz w:val="18"/>
                <w:szCs w:val="18"/>
                <w:lang w:bidi="ar"/>
              </w:rPr>
            </w:pPr>
          </w:p>
          <w:p>
            <w:pPr>
              <w:widowControl/>
              <w:spacing w:line="200" w:lineRule="exact"/>
              <w:textAlignment w:val="center"/>
              <w:rPr>
                <w:rFonts w:hint="eastAsia" w:ascii="宋体" w:hAnsi="宋体" w:cs="宋体"/>
                <w:kern w:val="0"/>
                <w:sz w:val="18"/>
                <w:szCs w:val="18"/>
                <w:lang w:bidi="ar"/>
              </w:rPr>
            </w:pPr>
          </w:p>
          <w:p>
            <w:pPr>
              <w:widowControl/>
              <w:spacing w:line="200" w:lineRule="exact"/>
              <w:textAlignment w:val="center"/>
              <w:rPr>
                <w:rFonts w:hint="eastAsia" w:ascii="宋体" w:hAnsi="宋体" w:cs="宋体"/>
                <w:kern w:val="0"/>
                <w:sz w:val="18"/>
                <w:szCs w:val="18"/>
                <w:lang w:bidi="ar"/>
              </w:rPr>
            </w:pPr>
            <w:r>
              <w:rPr>
                <w:rFonts w:hint="eastAsia" w:ascii="宋体" w:hAnsi="宋体" w:cs="宋体"/>
                <w:kern w:val="0"/>
                <w:sz w:val="18"/>
                <w:szCs w:val="18"/>
                <w:lang w:bidi="ar"/>
              </w:rPr>
              <w:t>地</w:t>
            </w:r>
          </w:p>
          <w:p>
            <w:pPr>
              <w:widowControl/>
              <w:spacing w:line="200" w:lineRule="exact"/>
              <w:textAlignment w:val="center"/>
              <w:rPr>
                <w:rFonts w:hint="eastAsia" w:ascii="宋体" w:hAnsi="宋体" w:cs="宋体"/>
                <w:kern w:val="0"/>
                <w:sz w:val="18"/>
                <w:szCs w:val="18"/>
                <w:lang w:bidi="ar"/>
              </w:rPr>
            </w:pPr>
          </w:p>
          <w:p>
            <w:pPr>
              <w:widowControl/>
              <w:spacing w:line="200" w:lineRule="exact"/>
              <w:textAlignment w:val="center"/>
              <w:rPr>
                <w:rFonts w:hint="eastAsia" w:ascii="宋体" w:hAnsi="宋体" w:cs="宋体"/>
                <w:kern w:val="0"/>
                <w:sz w:val="18"/>
                <w:szCs w:val="18"/>
                <w:lang w:bidi="ar"/>
              </w:rPr>
            </w:pPr>
            <w:r>
              <w:rPr>
                <w:rFonts w:hint="eastAsia" w:ascii="宋体" w:hAnsi="宋体" w:cs="宋体"/>
                <w:kern w:val="0"/>
                <w:sz w:val="18"/>
                <w:szCs w:val="18"/>
                <w:lang w:bidi="ar"/>
              </w:rPr>
              <w:t xml:space="preserve"> </w:t>
            </w:r>
          </w:p>
          <w:p>
            <w:pPr>
              <w:pStyle w:val="5"/>
              <w:spacing w:after="0" w:line="200" w:lineRule="exact"/>
              <w:rPr>
                <w:rFonts w:hint="eastAsia"/>
                <w:sz w:val="18"/>
                <w:szCs w:val="18"/>
              </w:rPr>
            </w:pPr>
          </w:p>
          <w:p>
            <w:pPr>
              <w:pStyle w:val="5"/>
              <w:spacing w:after="0" w:line="200" w:lineRule="exact"/>
              <w:rPr>
                <w:rFonts w:hint="eastAsia"/>
                <w:sz w:val="18"/>
                <w:szCs w:val="18"/>
              </w:rPr>
            </w:pPr>
          </w:p>
          <w:p>
            <w:pPr>
              <w:widowControl/>
              <w:spacing w:line="200" w:lineRule="exact"/>
              <w:textAlignment w:val="center"/>
              <w:rPr>
                <w:rFonts w:hint="eastAsia" w:ascii="宋体" w:hAnsi="宋体" w:cs="宋体"/>
                <w:kern w:val="0"/>
                <w:sz w:val="18"/>
                <w:szCs w:val="18"/>
                <w:lang w:bidi="ar"/>
              </w:rPr>
            </w:pPr>
            <w:r>
              <w:rPr>
                <w:rFonts w:hint="eastAsia" w:ascii="宋体" w:hAnsi="宋体" w:cs="宋体"/>
                <w:kern w:val="0"/>
                <w:sz w:val="18"/>
                <w:szCs w:val="18"/>
                <w:lang w:bidi="ar"/>
              </w:rPr>
              <w:t>方</w:t>
            </w:r>
          </w:p>
          <w:p>
            <w:pPr>
              <w:pStyle w:val="5"/>
              <w:spacing w:after="0" w:line="200" w:lineRule="exact"/>
              <w:rPr>
                <w:rFonts w:hint="eastAsia"/>
                <w:sz w:val="18"/>
                <w:szCs w:val="18"/>
              </w:rPr>
            </w:pPr>
          </w:p>
          <w:p>
            <w:pPr>
              <w:spacing w:line="200" w:lineRule="exact"/>
              <w:rPr>
                <w:rFonts w:hint="eastAsia"/>
                <w:sz w:val="18"/>
                <w:szCs w:val="18"/>
              </w:rPr>
            </w:pPr>
          </w:p>
          <w:p>
            <w:pPr>
              <w:pStyle w:val="5"/>
              <w:spacing w:after="0" w:line="200" w:lineRule="exact"/>
              <w:rPr>
                <w:rFonts w:hint="eastAsia"/>
                <w:sz w:val="18"/>
                <w:szCs w:val="18"/>
              </w:rPr>
            </w:pPr>
          </w:p>
          <w:p>
            <w:pPr>
              <w:pStyle w:val="5"/>
              <w:spacing w:after="0" w:line="200" w:lineRule="exact"/>
              <w:rPr>
                <w:rFonts w:hint="eastAsia"/>
                <w:sz w:val="18"/>
                <w:szCs w:val="18"/>
              </w:rPr>
            </w:pPr>
          </w:p>
          <w:p>
            <w:pPr>
              <w:widowControl/>
              <w:spacing w:line="200" w:lineRule="exact"/>
              <w:textAlignment w:val="center"/>
              <w:rPr>
                <w:rFonts w:hint="eastAsia" w:ascii="宋体" w:hAnsi="宋体" w:cs="宋体"/>
                <w:kern w:val="0"/>
                <w:sz w:val="18"/>
                <w:szCs w:val="18"/>
                <w:lang w:bidi="ar"/>
              </w:rPr>
            </w:pPr>
            <w:r>
              <w:rPr>
                <w:rFonts w:hint="eastAsia" w:ascii="宋体" w:hAnsi="宋体" w:cs="宋体"/>
                <w:kern w:val="0"/>
                <w:sz w:val="18"/>
                <w:szCs w:val="18"/>
                <w:lang w:bidi="ar"/>
              </w:rPr>
              <w:t>特</w:t>
            </w:r>
          </w:p>
          <w:p>
            <w:pPr>
              <w:pStyle w:val="5"/>
              <w:spacing w:after="0" w:line="200" w:lineRule="exact"/>
              <w:rPr>
                <w:rFonts w:hint="eastAsia"/>
                <w:sz w:val="18"/>
                <w:szCs w:val="18"/>
              </w:rPr>
            </w:pPr>
          </w:p>
          <w:p>
            <w:pPr>
              <w:spacing w:line="200" w:lineRule="exact"/>
              <w:rPr>
                <w:rFonts w:hint="eastAsia"/>
                <w:sz w:val="18"/>
                <w:szCs w:val="18"/>
              </w:rPr>
            </w:pPr>
          </w:p>
          <w:p>
            <w:pPr>
              <w:spacing w:line="200" w:lineRule="exact"/>
              <w:rPr>
                <w:rFonts w:hint="eastAsia"/>
                <w:sz w:val="18"/>
                <w:szCs w:val="18"/>
              </w:rPr>
            </w:pPr>
          </w:p>
          <w:p>
            <w:pPr>
              <w:spacing w:line="200" w:lineRule="exact"/>
              <w:rPr>
                <w:rFonts w:hint="eastAsia"/>
                <w:sz w:val="18"/>
                <w:szCs w:val="18"/>
              </w:rPr>
            </w:pPr>
          </w:p>
          <w:p>
            <w:pPr>
              <w:pStyle w:val="5"/>
              <w:spacing w:after="0" w:line="200" w:lineRule="exact"/>
              <w:rPr>
                <w:rFonts w:hint="eastAsia"/>
                <w:sz w:val="18"/>
                <w:szCs w:val="18"/>
                <w:lang w:val="en"/>
              </w:rPr>
            </w:pPr>
            <w:r>
              <w:rPr>
                <w:rFonts w:hint="eastAsia"/>
                <w:sz w:val="18"/>
                <w:szCs w:val="18"/>
                <w:lang w:val="en"/>
              </w:rPr>
              <w:t>色</w:t>
            </w:r>
          </w:p>
          <w:p>
            <w:pPr>
              <w:spacing w:line="200" w:lineRule="exact"/>
              <w:rPr>
                <w:rFonts w:hint="eastAsia"/>
                <w:sz w:val="18"/>
                <w:szCs w:val="18"/>
                <w:lang w:val="en"/>
              </w:rPr>
            </w:pPr>
          </w:p>
          <w:p>
            <w:pPr>
              <w:pStyle w:val="5"/>
              <w:spacing w:after="0" w:line="200" w:lineRule="exact"/>
              <w:rPr>
                <w:rFonts w:hint="eastAsia"/>
                <w:sz w:val="18"/>
                <w:szCs w:val="18"/>
                <w:lang w:val="en"/>
              </w:rPr>
            </w:pPr>
          </w:p>
          <w:p>
            <w:pPr>
              <w:spacing w:line="200" w:lineRule="exact"/>
              <w:rPr>
                <w:rFonts w:hint="eastAsia"/>
                <w:sz w:val="18"/>
                <w:szCs w:val="18"/>
                <w:lang w:val="en"/>
              </w:rPr>
            </w:pPr>
          </w:p>
          <w:p>
            <w:pPr>
              <w:spacing w:line="200" w:lineRule="exact"/>
              <w:rPr>
                <w:rFonts w:hint="eastAsia"/>
                <w:sz w:val="18"/>
                <w:szCs w:val="18"/>
                <w:lang w:val="en"/>
              </w:rPr>
            </w:pPr>
          </w:p>
          <w:p>
            <w:pPr>
              <w:widowControl/>
              <w:spacing w:line="200" w:lineRule="exact"/>
              <w:textAlignment w:val="center"/>
              <w:rPr>
                <w:rFonts w:hint="eastAsia" w:ascii="宋体" w:hAnsi="宋体" w:cs="宋体"/>
                <w:kern w:val="0"/>
                <w:sz w:val="18"/>
                <w:szCs w:val="18"/>
                <w:lang w:bidi="ar"/>
              </w:rPr>
            </w:pPr>
            <w:r>
              <w:rPr>
                <w:rFonts w:hint="eastAsia" w:ascii="宋体" w:hAnsi="宋体" w:cs="宋体"/>
                <w:kern w:val="0"/>
                <w:sz w:val="18"/>
                <w:szCs w:val="18"/>
                <w:lang w:bidi="ar"/>
              </w:rPr>
              <w:t>食</w:t>
            </w:r>
          </w:p>
          <w:p>
            <w:pPr>
              <w:pStyle w:val="5"/>
              <w:spacing w:after="0" w:line="200" w:lineRule="exact"/>
              <w:rPr>
                <w:rFonts w:hint="eastAsia"/>
                <w:sz w:val="18"/>
                <w:szCs w:val="18"/>
              </w:rPr>
            </w:pPr>
          </w:p>
          <w:p>
            <w:pPr>
              <w:spacing w:line="200" w:lineRule="exact"/>
              <w:rPr>
                <w:rFonts w:hint="eastAsia"/>
                <w:sz w:val="18"/>
                <w:szCs w:val="18"/>
              </w:rPr>
            </w:pPr>
          </w:p>
          <w:p>
            <w:pPr>
              <w:spacing w:line="200" w:lineRule="exact"/>
              <w:rPr>
                <w:rFonts w:hint="eastAsia"/>
                <w:sz w:val="18"/>
                <w:szCs w:val="18"/>
              </w:rPr>
            </w:pPr>
          </w:p>
          <w:p>
            <w:pPr>
              <w:pStyle w:val="5"/>
              <w:spacing w:after="0" w:line="200" w:lineRule="exact"/>
              <w:rPr>
                <w:rFonts w:hint="eastAsia"/>
                <w:sz w:val="18"/>
                <w:szCs w:val="18"/>
              </w:rPr>
            </w:pPr>
          </w:p>
          <w:p>
            <w:pPr>
              <w:widowControl/>
              <w:spacing w:line="200" w:lineRule="exact"/>
              <w:textAlignment w:val="center"/>
              <w:rPr>
                <w:rFonts w:hint="eastAsia" w:ascii="宋体" w:hAnsi="宋体" w:cs="宋体"/>
                <w:sz w:val="18"/>
                <w:szCs w:val="18"/>
              </w:rPr>
            </w:pPr>
            <w:r>
              <w:rPr>
                <w:rFonts w:hint="eastAsia" w:ascii="宋体" w:hAnsi="宋体" w:cs="宋体"/>
                <w:kern w:val="0"/>
                <w:sz w:val="18"/>
                <w:szCs w:val="18"/>
                <w:lang w:bidi="ar"/>
              </w:rPr>
              <w:t>品</w:t>
            </w:r>
          </w:p>
        </w:tc>
        <w:tc>
          <w:tcPr>
            <w:tcW w:w="341" w:type="pct"/>
            <w:vMerge w:val="restar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sz w:val="18"/>
                <w:szCs w:val="18"/>
              </w:rPr>
            </w:pPr>
            <w:r>
              <w:rPr>
                <w:rFonts w:hint="eastAsia" w:ascii="宋体" w:hAnsi="宋体" w:cs="宋体"/>
                <w:kern w:val="0"/>
                <w:sz w:val="18"/>
                <w:szCs w:val="18"/>
                <w:lang w:bidi="ar"/>
              </w:rPr>
              <w:t>粮食加工品</w:t>
            </w: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sz w:val="18"/>
                <w:szCs w:val="18"/>
              </w:rPr>
            </w:pPr>
            <w:r>
              <w:rPr>
                <w:rFonts w:hint="eastAsia" w:ascii="宋体" w:hAnsi="宋体" w:cs="宋体"/>
                <w:kern w:val="0"/>
                <w:sz w:val="18"/>
                <w:szCs w:val="18"/>
                <w:lang w:bidi="ar"/>
              </w:rPr>
              <w:t>大米</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20</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17</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4</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4</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4</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3</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4</w:t>
            </w:r>
          </w:p>
        </w:tc>
        <w:tc>
          <w:tcPr>
            <w:tcW w:w="284"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4</w:t>
            </w:r>
          </w:p>
        </w:tc>
        <w:tc>
          <w:tcPr>
            <w:tcW w:w="229"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35" w:type="pct"/>
            <w:tcBorders>
              <w:top w:val="single" w:color="000000" w:sz="8" w:space="0"/>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r>
      <w:tr>
        <w:tblPrEx>
          <w:tblCellMar>
            <w:top w:w="0" w:type="dxa"/>
            <w:left w:w="108" w:type="dxa"/>
            <w:bottom w:w="0" w:type="dxa"/>
            <w:right w:w="108" w:type="dxa"/>
          </w:tblCellMar>
        </w:tblPrEx>
        <w:trPr>
          <w:trHeight w:val="331"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200" w:lineRule="exact"/>
              <w:jc w:val="center"/>
              <w:rPr>
                <w:rFonts w:hint="eastAsia" w:ascii="宋体" w:hAnsi="宋体" w:cs="宋体"/>
                <w:sz w:val="18"/>
                <w:szCs w:val="18"/>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spacing w:line="200" w:lineRule="exact"/>
              <w:jc w:val="center"/>
              <w:rPr>
                <w:rFonts w:hint="eastAsia" w:ascii="宋体" w:hAnsi="宋体" w:cs="宋体"/>
                <w:sz w:val="18"/>
                <w:szCs w:val="18"/>
              </w:rPr>
            </w:pPr>
          </w:p>
        </w:tc>
        <w:tc>
          <w:tcPr>
            <w:tcW w:w="341" w:type="pct"/>
            <w:vMerge w:val="continue"/>
            <w:tcBorders>
              <w:top w:val="nil"/>
              <w:left w:val="nil"/>
              <w:bottom w:val="single" w:color="000000" w:sz="8" w:space="0"/>
              <w:right w:val="single" w:color="000000" w:sz="8" w:space="0"/>
            </w:tcBorders>
            <w:noWrap w:val="0"/>
            <w:vAlign w:val="center"/>
          </w:tcPr>
          <w:p>
            <w:pPr>
              <w:widowControl/>
              <w:spacing w:line="200" w:lineRule="exact"/>
              <w:jc w:val="center"/>
              <w:rPr>
                <w:rFonts w:hint="eastAsia" w:ascii="宋体" w:hAnsi="宋体" w:cs="宋体"/>
                <w:sz w:val="18"/>
                <w:szCs w:val="18"/>
              </w:rPr>
            </w:pP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sz w:val="18"/>
                <w:szCs w:val="18"/>
              </w:rPr>
            </w:pPr>
            <w:r>
              <w:rPr>
                <w:rFonts w:hint="eastAsia" w:ascii="宋体" w:hAnsi="宋体" w:cs="宋体"/>
                <w:kern w:val="0"/>
                <w:sz w:val="18"/>
                <w:szCs w:val="18"/>
                <w:lang w:bidi="ar"/>
              </w:rPr>
              <w:t>挂面</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12</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10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1</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1</w:t>
            </w:r>
          </w:p>
        </w:tc>
      </w:tr>
      <w:tr>
        <w:tblPrEx>
          <w:tblCellMar>
            <w:top w:w="0" w:type="dxa"/>
            <w:left w:w="108" w:type="dxa"/>
            <w:bottom w:w="0" w:type="dxa"/>
            <w:right w:w="108" w:type="dxa"/>
          </w:tblCellMar>
        </w:tblPrEx>
        <w:trPr>
          <w:trHeight w:val="331"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200" w:lineRule="exact"/>
              <w:jc w:val="center"/>
              <w:rPr>
                <w:rFonts w:hint="eastAsia" w:ascii="宋体" w:hAnsi="宋体" w:cs="宋体"/>
                <w:sz w:val="18"/>
                <w:szCs w:val="18"/>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sz w:val="18"/>
                <w:szCs w:val="18"/>
              </w:rPr>
            </w:pPr>
          </w:p>
        </w:tc>
        <w:tc>
          <w:tcPr>
            <w:tcW w:w="341" w:type="pct"/>
            <w:vMerge w:val="continue"/>
            <w:tcBorders>
              <w:top w:val="nil"/>
              <w:left w:val="nil"/>
              <w:bottom w:val="single" w:color="000000" w:sz="8" w:space="0"/>
              <w:right w:val="single" w:color="000000" w:sz="8" w:space="0"/>
            </w:tcBorders>
            <w:noWrap w:val="0"/>
            <w:vAlign w:val="center"/>
          </w:tcPr>
          <w:p>
            <w:pPr>
              <w:widowControl/>
              <w:spacing w:line="200" w:lineRule="exact"/>
              <w:jc w:val="center"/>
              <w:rPr>
                <w:rFonts w:hint="eastAsia" w:ascii="宋体" w:hAnsi="宋体" w:cs="宋体"/>
                <w:sz w:val="18"/>
                <w:szCs w:val="18"/>
              </w:rPr>
            </w:pP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sz w:val="18"/>
                <w:szCs w:val="18"/>
              </w:rPr>
            </w:pPr>
            <w:r>
              <w:rPr>
                <w:rFonts w:hint="eastAsia" w:ascii="宋体" w:hAnsi="宋体" w:cs="宋体"/>
                <w:kern w:val="0"/>
                <w:sz w:val="18"/>
                <w:szCs w:val="18"/>
                <w:lang w:bidi="ar"/>
              </w:rPr>
              <w:t>生湿面制品</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15</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10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4</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3</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3</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1</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1</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1</w:t>
            </w:r>
          </w:p>
        </w:tc>
      </w:tr>
      <w:tr>
        <w:tblPrEx>
          <w:tblCellMar>
            <w:top w:w="0" w:type="dxa"/>
            <w:left w:w="108" w:type="dxa"/>
            <w:bottom w:w="0" w:type="dxa"/>
            <w:right w:w="108" w:type="dxa"/>
          </w:tblCellMar>
        </w:tblPrEx>
        <w:trPr>
          <w:trHeight w:val="331"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200" w:lineRule="exact"/>
              <w:jc w:val="center"/>
              <w:rPr>
                <w:rFonts w:hint="eastAsia" w:ascii="宋体" w:hAnsi="宋体" w:cs="宋体"/>
                <w:sz w:val="18"/>
                <w:szCs w:val="18"/>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spacing w:line="200" w:lineRule="exact"/>
              <w:jc w:val="center"/>
              <w:rPr>
                <w:rFonts w:hint="eastAsia" w:ascii="宋体" w:hAnsi="宋体" w:cs="宋体"/>
                <w:sz w:val="18"/>
                <w:szCs w:val="18"/>
              </w:rPr>
            </w:pPr>
          </w:p>
        </w:tc>
        <w:tc>
          <w:tcPr>
            <w:tcW w:w="341" w:type="pct"/>
            <w:vMerge w:val="restar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sz w:val="18"/>
                <w:szCs w:val="18"/>
              </w:rPr>
            </w:pPr>
            <w:r>
              <w:rPr>
                <w:rFonts w:hint="eastAsia" w:ascii="宋体" w:hAnsi="宋体" w:cs="宋体"/>
                <w:sz w:val="18"/>
                <w:szCs w:val="18"/>
              </w:rPr>
              <w:t>食用油</w:t>
            </w: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sz w:val="18"/>
                <w:szCs w:val="18"/>
              </w:rPr>
            </w:pPr>
            <w:r>
              <w:rPr>
                <w:rFonts w:hint="eastAsia" w:ascii="宋体" w:hAnsi="宋体" w:cs="宋体"/>
                <w:kern w:val="0"/>
                <w:sz w:val="18"/>
                <w:szCs w:val="18"/>
                <w:lang w:bidi="ar"/>
              </w:rPr>
              <w:t>花生油</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10</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7</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1</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1</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1</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1</w:t>
            </w:r>
          </w:p>
        </w:tc>
      </w:tr>
      <w:tr>
        <w:tblPrEx>
          <w:tblCellMar>
            <w:top w:w="0" w:type="dxa"/>
            <w:left w:w="108" w:type="dxa"/>
            <w:bottom w:w="0" w:type="dxa"/>
            <w:right w:w="108" w:type="dxa"/>
          </w:tblCellMar>
        </w:tblPrEx>
        <w:trPr>
          <w:trHeight w:val="331"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200" w:lineRule="exact"/>
              <w:jc w:val="center"/>
              <w:rPr>
                <w:rFonts w:hint="eastAsia" w:ascii="宋体" w:hAnsi="宋体" w:cs="宋体"/>
                <w:sz w:val="18"/>
                <w:szCs w:val="18"/>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spacing w:line="200" w:lineRule="exact"/>
              <w:jc w:val="center"/>
              <w:rPr>
                <w:rFonts w:hint="eastAsia" w:ascii="宋体" w:hAnsi="宋体" w:cs="宋体"/>
                <w:sz w:val="18"/>
                <w:szCs w:val="18"/>
              </w:rPr>
            </w:pPr>
          </w:p>
        </w:tc>
        <w:tc>
          <w:tcPr>
            <w:tcW w:w="341" w:type="pct"/>
            <w:vMerge w:val="continue"/>
            <w:tcBorders>
              <w:top w:val="nil"/>
              <w:left w:val="nil"/>
              <w:bottom w:val="single" w:color="000000" w:sz="8" w:space="0"/>
              <w:right w:val="single" w:color="000000" w:sz="8" w:space="0"/>
            </w:tcBorders>
            <w:noWrap w:val="0"/>
            <w:vAlign w:val="center"/>
          </w:tcPr>
          <w:p>
            <w:pPr>
              <w:widowControl/>
              <w:spacing w:line="200" w:lineRule="exact"/>
              <w:jc w:val="center"/>
              <w:rPr>
                <w:rFonts w:hint="eastAsia" w:ascii="宋体" w:hAnsi="宋体" w:cs="宋体"/>
                <w:sz w:val="18"/>
                <w:szCs w:val="18"/>
              </w:rPr>
            </w:pP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sz w:val="18"/>
                <w:szCs w:val="18"/>
              </w:rPr>
            </w:pPr>
            <w:r>
              <w:rPr>
                <w:rFonts w:hint="eastAsia" w:ascii="宋体" w:hAnsi="宋体" w:cs="宋体"/>
                <w:kern w:val="0"/>
                <w:sz w:val="18"/>
                <w:szCs w:val="18"/>
                <w:lang w:bidi="ar"/>
              </w:rPr>
              <w:t>菜籽油</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25</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20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5</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5</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5</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5</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5</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5</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4</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4</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1</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1</w:t>
            </w:r>
          </w:p>
        </w:tc>
      </w:tr>
      <w:tr>
        <w:tblPrEx>
          <w:tblCellMar>
            <w:top w:w="0" w:type="dxa"/>
            <w:left w:w="108" w:type="dxa"/>
            <w:bottom w:w="0" w:type="dxa"/>
            <w:right w:w="108" w:type="dxa"/>
          </w:tblCellMar>
        </w:tblPrEx>
        <w:trPr>
          <w:trHeight w:val="331"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200" w:lineRule="exact"/>
              <w:jc w:val="center"/>
              <w:rPr>
                <w:rFonts w:hint="eastAsia" w:ascii="宋体" w:hAnsi="宋体" w:cs="宋体"/>
                <w:sz w:val="18"/>
                <w:szCs w:val="18"/>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sz w:val="18"/>
                <w:szCs w:val="18"/>
              </w:rPr>
            </w:pPr>
          </w:p>
        </w:tc>
        <w:tc>
          <w:tcPr>
            <w:tcW w:w="341" w:type="pct"/>
            <w:vMerge w:val="continue"/>
            <w:tcBorders>
              <w:top w:val="nil"/>
              <w:left w:val="nil"/>
              <w:bottom w:val="single" w:color="000000" w:sz="8" w:space="0"/>
              <w:right w:val="single" w:color="000000" w:sz="8" w:space="0"/>
            </w:tcBorders>
            <w:noWrap w:val="0"/>
            <w:vAlign w:val="center"/>
          </w:tcPr>
          <w:p>
            <w:pPr>
              <w:widowControl/>
              <w:spacing w:line="200" w:lineRule="exact"/>
              <w:jc w:val="center"/>
              <w:rPr>
                <w:rFonts w:hint="eastAsia" w:ascii="宋体" w:hAnsi="宋体" w:cs="宋体"/>
                <w:sz w:val="18"/>
                <w:szCs w:val="18"/>
              </w:rPr>
            </w:pP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sz w:val="18"/>
                <w:szCs w:val="18"/>
              </w:rPr>
            </w:pPr>
            <w:r>
              <w:rPr>
                <w:rFonts w:hint="eastAsia" w:ascii="宋体" w:hAnsi="宋体" w:cs="宋体"/>
                <w:kern w:val="0"/>
                <w:sz w:val="18"/>
                <w:szCs w:val="18"/>
                <w:lang w:bidi="ar"/>
              </w:rPr>
              <w:t>食用植物油</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12</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12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1</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r>
      <w:tr>
        <w:tblPrEx>
          <w:tblCellMar>
            <w:top w:w="0" w:type="dxa"/>
            <w:left w:w="108" w:type="dxa"/>
            <w:bottom w:w="0" w:type="dxa"/>
            <w:right w:w="108" w:type="dxa"/>
          </w:tblCellMar>
        </w:tblPrEx>
        <w:trPr>
          <w:trHeight w:val="331"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200" w:lineRule="exact"/>
              <w:jc w:val="center"/>
              <w:rPr>
                <w:rFonts w:hint="eastAsia" w:ascii="宋体" w:hAnsi="宋体" w:cs="宋体"/>
                <w:sz w:val="18"/>
                <w:szCs w:val="18"/>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spacing w:line="200" w:lineRule="exact"/>
              <w:jc w:val="center"/>
              <w:rPr>
                <w:rFonts w:hint="eastAsia" w:ascii="宋体" w:hAnsi="宋体" w:cs="宋体"/>
                <w:sz w:val="18"/>
                <w:szCs w:val="18"/>
              </w:rPr>
            </w:pPr>
          </w:p>
        </w:tc>
        <w:tc>
          <w:tcPr>
            <w:tcW w:w="341" w:type="pct"/>
            <w:vMerge w:val="restar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sz w:val="18"/>
                <w:szCs w:val="18"/>
              </w:rPr>
            </w:pPr>
            <w:r>
              <w:rPr>
                <w:rFonts w:hint="eastAsia" w:ascii="宋体" w:hAnsi="宋体" w:cs="宋体"/>
                <w:kern w:val="0"/>
                <w:sz w:val="18"/>
                <w:szCs w:val="18"/>
                <w:lang w:bidi="ar"/>
              </w:rPr>
              <w:t>调味品</w:t>
            </w: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sz w:val="18"/>
                <w:szCs w:val="18"/>
              </w:rPr>
            </w:pPr>
            <w:r>
              <w:rPr>
                <w:rFonts w:hint="eastAsia" w:ascii="宋体" w:hAnsi="宋体" w:cs="宋体"/>
                <w:kern w:val="0"/>
                <w:sz w:val="18"/>
                <w:szCs w:val="18"/>
                <w:lang w:bidi="ar"/>
              </w:rPr>
              <w:t>酱油</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6</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6</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1</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sz w:val="18"/>
                <w:szCs w:val="18"/>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sz w:val="18"/>
                <w:szCs w:val="18"/>
              </w:rPr>
              <w:t>1</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sz w:val="18"/>
                <w:szCs w:val="18"/>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sz w:val="18"/>
                <w:szCs w:val="18"/>
              </w:rPr>
              <w:t>1</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sz w:val="18"/>
                <w:szCs w:val="18"/>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sz w:val="18"/>
                <w:szCs w:val="18"/>
              </w:rPr>
              <w:t>1</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sz w:val="18"/>
                <w:szCs w:val="18"/>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sz w:val="18"/>
                <w:szCs w:val="18"/>
              </w:rPr>
              <w:t>1</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sz w:val="18"/>
                <w:szCs w:val="18"/>
              </w:rPr>
              <w:t>1</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sz w:val="18"/>
                <w:szCs w:val="18"/>
              </w:rPr>
              <w:t>1</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sz w:val="18"/>
                <w:szCs w:val="18"/>
              </w:rPr>
              <w:t>1</w:t>
            </w:r>
          </w:p>
        </w:tc>
      </w:tr>
      <w:tr>
        <w:tblPrEx>
          <w:tblCellMar>
            <w:top w:w="0" w:type="dxa"/>
            <w:left w:w="108" w:type="dxa"/>
            <w:bottom w:w="0" w:type="dxa"/>
            <w:right w:w="108" w:type="dxa"/>
          </w:tblCellMar>
        </w:tblPrEx>
        <w:trPr>
          <w:trHeight w:val="331"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200" w:lineRule="exact"/>
              <w:jc w:val="center"/>
              <w:rPr>
                <w:rFonts w:hint="eastAsia" w:ascii="宋体" w:hAnsi="宋体" w:cs="宋体"/>
                <w:sz w:val="18"/>
                <w:szCs w:val="18"/>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spacing w:line="200" w:lineRule="exact"/>
              <w:jc w:val="center"/>
              <w:rPr>
                <w:rFonts w:hint="eastAsia" w:ascii="宋体" w:hAnsi="宋体" w:cs="宋体"/>
                <w:sz w:val="18"/>
                <w:szCs w:val="18"/>
              </w:rPr>
            </w:pPr>
          </w:p>
        </w:tc>
        <w:tc>
          <w:tcPr>
            <w:tcW w:w="341" w:type="pct"/>
            <w:vMerge w:val="continue"/>
            <w:tcBorders>
              <w:top w:val="nil"/>
              <w:left w:val="nil"/>
              <w:bottom w:val="single" w:color="000000" w:sz="8" w:space="0"/>
              <w:right w:val="single" w:color="000000" w:sz="8" w:space="0"/>
            </w:tcBorders>
            <w:noWrap w:val="0"/>
            <w:vAlign w:val="center"/>
          </w:tcPr>
          <w:p>
            <w:pPr>
              <w:widowControl/>
              <w:spacing w:line="200" w:lineRule="exact"/>
              <w:jc w:val="center"/>
              <w:rPr>
                <w:rFonts w:hint="eastAsia" w:ascii="宋体" w:hAnsi="宋体" w:cs="宋体"/>
                <w:sz w:val="18"/>
                <w:szCs w:val="18"/>
              </w:rPr>
            </w:pP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sz w:val="18"/>
                <w:szCs w:val="18"/>
              </w:rPr>
            </w:pPr>
            <w:r>
              <w:rPr>
                <w:rFonts w:hint="eastAsia" w:ascii="宋体" w:hAnsi="宋体" w:cs="宋体"/>
                <w:kern w:val="0"/>
                <w:sz w:val="18"/>
                <w:szCs w:val="18"/>
                <w:lang w:bidi="ar"/>
              </w:rPr>
              <w:t>食醋</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sz w:val="18"/>
                <w:szCs w:val="18"/>
              </w:rPr>
              <w:t>6</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sz w:val="18"/>
                <w:szCs w:val="18"/>
              </w:rPr>
              <w:t>6</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sz w:val="18"/>
                <w:szCs w:val="18"/>
              </w:rPr>
              <w:t>1</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sz w:val="18"/>
                <w:szCs w:val="18"/>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sz w:val="18"/>
                <w:szCs w:val="18"/>
              </w:rPr>
              <w:t>1</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sz w:val="18"/>
                <w:szCs w:val="18"/>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sz w:val="18"/>
                <w:szCs w:val="18"/>
              </w:rPr>
              <w:t>1</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sz w:val="18"/>
                <w:szCs w:val="18"/>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sz w:val="18"/>
                <w:szCs w:val="18"/>
              </w:rPr>
              <w:t>1</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sz w:val="18"/>
                <w:szCs w:val="18"/>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sz w:val="18"/>
                <w:szCs w:val="18"/>
              </w:rPr>
              <w:t>1</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sz w:val="18"/>
                <w:szCs w:val="18"/>
              </w:rPr>
              <w:t>1</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sz w:val="18"/>
                <w:szCs w:val="18"/>
              </w:rPr>
              <w:t>1</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cs="宋体"/>
                <w:b/>
                <w:bCs/>
                <w:sz w:val="18"/>
                <w:szCs w:val="18"/>
              </w:rPr>
            </w:pPr>
            <w:r>
              <w:rPr>
                <w:rFonts w:hint="eastAsia" w:ascii="宋体" w:hAnsi="宋体" w:cs="宋体"/>
                <w:b/>
                <w:bCs/>
                <w:sz w:val="18"/>
                <w:szCs w:val="18"/>
              </w:rPr>
              <w:t>1</w:t>
            </w:r>
          </w:p>
        </w:tc>
      </w:tr>
      <w:tr>
        <w:tblPrEx>
          <w:tblCellMar>
            <w:top w:w="0" w:type="dxa"/>
            <w:left w:w="108" w:type="dxa"/>
            <w:bottom w:w="0" w:type="dxa"/>
            <w:right w:w="108" w:type="dxa"/>
          </w:tblCellMar>
        </w:tblPrEx>
        <w:trPr>
          <w:trHeight w:val="598"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200" w:lineRule="exact"/>
              <w:jc w:val="center"/>
              <w:rPr>
                <w:rFonts w:hint="eastAsia" w:ascii="宋体" w:hAnsi="宋体" w:cs="宋体"/>
                <w:sz w:val="18"/>
                <w:szCs w:val="18"/>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spacing w:line="200" w:lineRule="exact"/>
              <w:jc w:val="center"/>
              <w:rPr>
                <w:rFonts w:hint="eastAsia" w:ascii="宋体" w:hAnsi="宋体" w:cs="宋体"/>
                <w:sz w:val="18"/>
                <w:szCs w:val="18"/>
              </w:rPr>
            </w:pPr>
          </w:p>
        </w:tc>
        <w:tc>
          <w:tcPr>
            <w:tcW w:w="341" w:type="pct"/>
            <w:vMerge w:val="continue"/>
            <w:tcBorders>
              <w:top w:val="nil"/>
              <w:left w:val="nil"/>
              <w:bottom w:val="single" w:color="000000" w:sz="8" w:space="0"/>
              <w:right w:val="single" w:color="000000" w:sz="8" w:space="0"/>
            </w:tcBorders>
            <w:noWrap w:val="0"/>
            <w:vAlign w:val="center"/>
          </w:tcPr>
          <w:p>
            <w:pPr>
              <w:widowControl/>
              <w:spacing w:line="200" w:lineRule="exact"/>
              <w:jc w:val="center"/>
              <w:rPr>
                <w:rFonts w:hint="eastAsia" w:ascii="宋体" w:hAnsi="宋体" w:cs="宋体"/>
                <w:sz w:val="18"/>
                <w:szCs w:val="18"/>
              </w:rPr>
            </w:pP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sz w:val="18"/>
                <w:szCs w:val="18"/>
              </w:rPr>
            </w:pPr>
            <w:r>
              <w:rPr>
                <w:rFonts w:hint="eastAsia" w:ascii="宋体" w:hAnsi="宋体" w:cs="宋体"/>
                <w:kern w:val="0"/>
                <w:sz w:val="18"/>
                <w:szCs w:val="18"/>
                <w:lang w:bidi="ar"/>
              </w:rPr>
              <w:t>辣椒、花椒、辣椒粉、花椒粉</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15</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15</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4</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3</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3</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3</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1</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1</w:t>
            </w:r>
          </w:p>
        </w:tc>
      </w:tr>
      <w:tr>
        <w:tblPrEx>
          <w:tblCellMar>
            <w:top w:w="0" w:type="dxa"/>
            <w:left w:w="108" w:type="dxa"/>
            <w:bottom w:w="0" w:type="dxa"/>
            <w:right w:w="108" w:type="dxa"/>
          </w:tblCellMar>
        </w:tblPrEx>
        <w:trPr>
          <w:trHeight w:val="331"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200" w:lineRule="exact"/>
              <w:jc w:val="center"/>
              <w:rPr>
                <w:rFonts w:hint="eastAsia" w:ascii="宋体" w:hAnsi="宋体" w:cs="宋体"/>
                <w:sz w:val="18"/>
                <w:szCs w:val="18"/>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spacing w:line="200" w:lineRule="exact"/>
              <w:jc w:val="center"/>
              <w:rPr>
                <w:rFonts w:hint="eastAsia" w:ascii="宋体" w:hAnsi="宋体" w:cs="宋体"/>
                <w:sz w:val="18"/>
                <w:szCs w:val="18"/>
              </w:rPr>
            </w:pPr>
          </w:p>
        </w:tc>
        <w:tc>
          <w:tcPr>
            <w:tcW w:w="341" w:type="pct"/>
            <w:vMerge w:val="restar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sz w:val="18"/>
                <w:szCs w:val="18"/>
              </w:rPr>
            </w:pPr>
            <w:r>
              <w:rPr>
                <w:rFonts w:hint="eastAsia" w:ascii="宋体" w:hAnsi="宋体" w:cs="宋体"/>
                <w:kern w:val="0"/>
                <w:sz w:val="18"/>
                <w:szCs w:val="18"/>
                <w:lang w:bidi="ar"/>
              </w:rPr>
              <w:t>肉制品</w:t>
            </w: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sz w:val="18"/>
                <w:szCs w:val="18"/>
              </w:rPr>
            </w:pPr>
            <w:r>
              <w:rPr>
                <w:rFonts w:hint="eastAsia" w:ascii="宋体" w:hAnsi="宋体" w:cs="宋体"/>
                <w:kern w:val="0"/>
                <w:sz w:val="18"/>
                <w:szCs w:val="18"/>
                <w:lang w:bidi="ar"/>
              </w:rPr>
              <w:t>熟肉干制品</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5</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1</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1</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1</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1</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1</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1</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0</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0</w:t>
            </w:r>
          </w:p>
        </w:tc>
      </w:tr>
      <w:tr>
        <w:tblPrEx>
          <w:tblCellMar>
            <w:top w:w="0" w:type="dxa"/>
            <w:left w:w="108" w:type="dxa"/>
            <w:bottom w:w="0" w:type="dxa"/>
            <w:right w:w="108" w:type="dxa"/>
          </w:tblCellMar>
        </w:tblPrEx>
        <w:trPr>
          <w:trHeight w:val="331"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200" w:lineRule="exact"/>
              <w:jc w:val="center"/>
              <w:rPr>
                <w:rFonts w:hint="eastAsia" w:ascii="宋体" w:hAnsi="宋体" w:cs="宋体"/>
                <w:sz w:val="18"/>
                <w:szCs w:val="18"/>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sz w:val="18"/>
                <w:szCs w:val="18"/>
              </w:rPr>
            </w:pPr>
          </w:p>
        </w:tc>
        <w:tc>
          <w:tcPr>
            <w:tcW w:w="341" w:type="pct"/>
            <w:vMerge w:val="continue"/>
            <w:tcBorders>
              <w:top w:val="nil"/>
              <w:left w:val="nil"/>
              <w:bottom w:val="single" w:color="000000" w:sz="8" w:space="0"/>
              <w:right w:val="single" w:color="000000" w:sz="8" w:space="0"/>
            </w:tcBorders>
            <w:noWrap w:val="0"/>
            <w:vAlign w:val="center"/>
          </w:tcPr>
          <w:p>
            <w:pPr>
              <w:widowControl/>
              <w:spacing w:line="200" w:lineRule="exact"/>
              <w:jc w:val="center"/>
              <w:rPr>
                <w:rFonts w:hint="eastAsia" w:ascii="宋体" w:hAnsi="宋体" w:cs="宋体"/>
                <w:sz w:val="18"/>
                <w:szCs w:val="18"/>
              </w:rPr>
            </w:pP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sz w:val="18"/>
                <w:szCs w:val="18"/>
              </w:rPr>
            </w:pPr>
            <w:r>
              <w:rPr>
                <w:rFonts w:hint="eastAsia" w:ascii="宋体" w:hAnsi="宋体" w:cs="宋体"/>
                <w:kern w:val="0"/>
                <w:sz w:val="18"/>
                <w:szCs w:val="18"/>
                <w:lang w:bidi="ar"/>
              </w:rPr>
              <w:t>酱卤肉制品</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18</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12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5</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4</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4</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3</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3</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0</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0</w:t>
            </w:r>
          </w:p>
        </w:tc>
      </w:tr>
      <w:tr>
        <w:tblPrEx>
          <w:tblCellMar>
            <w:top w:w="0" w:type="dxa"/>
            <w:left w:w="108" w:type="dxa"/>
            <w:bottom w:w="0" w:type="dxa"/>
            <w:right w:w="108" w:type="dxa"/>
          </w:tblCellMar>
        </w:tblPrEx>
        <w:trPr>
          <w:trHeight w:val="85"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200" w:lineRule="exact"/>
              <w:jc w:val="center"/>
              <w:rPr>
                <w:rFonts w:hint="eastAsia" w:ascii="宋体" w:hAnsi="宋体" w:cs="宋体"/>
                <w:sz w:val="18"/>
                <w:szCs w:val="18"/>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sz w:val="18"/>
                <w:szCs w:val="18"/>
              </w:rPr>
            </w:pPr>
          </w:p>
        </w:tc>
        <w:tc>
          <w:tcPr>
            <w:tcW w:w="341" w:type="pct"/>
            <w:vMerge w:val="restart"/>
            <w:tcBorders>
              <w:top w:val="nil"/>
              <w:left w:val="nil"/>
              <w:right w:val="single" w:color="000000" w:sz="8" w:space="0"/>
            </w:tcBorders>
            <w:noWrap w:val="0"/>
            <w:vAlign w:val="center"/>
          </w:tcPr>
          <w:p>
            <w:pPr>
              <w:widowControl/>
              <w:spacing w:line="200" w:lineRule="exact"/>
              <w:jc w:val="center"/>
              <w:textAlignment w:val="center"/>
              <w:rPr>
                <w:rFonts w:hint="eastAsia" w:ascii="宋体" w:hAnsi="宋体" w:eastAsia="宋体" w:cs="宋体"/>
                <w:sz w:val="18"/>
                <w:szCs w:val="18"/>
              </w:rPr>
            </w:pPr>
            <w:r>
              <w:rPr>
                <w:rFonts w:hint="eastAsia" w:ascii="宋体" w:hAnsi="宋体" w:cs="宋体"/>
                <w:kern w:val="0"/>
                <w:sz w:val="18"/>
                <w:szCs w:val="18"/>
                <w:lang w:bidi="ar"/>
              </w:rPr>
              <w:t>乳制品</w:t>
            </w: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sz w:val="18"/>
                <w:szCs w:val="18"/>
              </w:rPr>
            </w:pPr>
            <w:r>
              <w:rPr>
                <w:rFonts w:hint="eastAsia" w:ascii="宋体" w:hAnsi="宋体" w:cs="宋体"/>
                <w:sz w:val="18"/>
                <w:szCs w:val="18"/>
              </w:rPr>
              <w:t>发酵乳</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10</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cs="宋体"/>
                <w:b/>
                <w:bCs/>
                <w:sz w:val="18"/>
                <w:szCs w:val="18"/>
              </w:rPr>
              <w:t>10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1</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2</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1</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0</w:t>
            </w:r>
          </w:p>
        </w:tc>
      </w:tr>
      <w:tr>
        <w:tblPrEx>
          <w:tblCellMar>
            <w:top w:w="0" w:type="dxa"/>
            <w:left w:w="108" w:type="dxa"/>
            <w:bottom w:w="0" w:type="dxa"/>
            <w:right w:w="108" w:type="dxa"/>
          </w:tblCellMar>
        </w:tblPrEx>
        <w:trPr>
          <w:trHeight w:val="85"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sz w:val="18"/>
                <w:szCs w:val="18"/>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continue"/>
            <w:tcBorders>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调制乳</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sz w:val="18"/>
                <w:szCs w:val="18"/>
              </w:rPr>
              <w:t>10</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sz w:val="18"/>
                <w:szCs w:val="18"/>
              </w:rPr>
              <w:t>10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sz w:val="18"/>
                <w:szCs w:val="18"/>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sz w:val="18"/>
                <w:szCs w:val="18"/>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sz w:val="18"/>
                <w:szCs w:val="18"/>
              </w:rPr>
              <w:t>2</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sz w:val="18"/>
                <w:szCs w:val="18"/>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sz w:val="18"/>
                <w:szCs w:val="18"/>
              </w:rPr>
              <w:t>2</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sz w:val="18"/>
                <w:szCs w:val="18"/>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sz w:val="18"/>
                <w:szCs w:val="18"/>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sz w:val="18"/>
                <w:szCs w:val="18"/>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sz w:val="18"/>
                <w:szCs w:val="18"/>
              </w:rPr>
              <w:t>1</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sz w:val="18"/>
                <w:szCs w:val="18"/>
              </w:rPr>
              <w:t>1</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sz w:val="18"/>
                <w:szCs w:val="18"/>
              </w:rPr>
              <w:t>1</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sz w:val="18"/>
                <w:szCs w:val="18"/>
              </w:rPr>
              <w:t>1</w:t>
            </w:r>
          </w:p>
        </w:tc>
      </w:tr>
      <w:tr>
        <w:tblPrEx>
          <w:tblCellMar>
            <w:top w:w="0" w:type="dxa"/>
            <w:left w:w="108" w:type="dxa"/>
            <w:bottom w:w="0" w:type="dxa"/>
            <w:right w:w="108" w:type="dxa"/>
          </w:tblCellMar>
        </w:tblPrEx>
        <w:trPr>
          <w:trHeight w:val="524"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restart"/>
            <w:tcBorders>
              <w:top w:val="nil"/>
              <w:left w:val="nil"/>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饮料</w:t>
            </w: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饮用天然矿泉水</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1</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cs="宋体"/>
                <w:b/>
                <w:bCs/>
                <w:sz w:val="18"/>
                <w:szCs w:val="18"/>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sz w:val="18"/>
                <w:szCs w:val="18"/>
              </w:rPr>
              <w:t>0</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sz w:val="18"/>
                <w:szCs w:val="18"/>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sz w:val="18"/>
                <w:szCs w:val="18"/>
              </w:rPr>
              <w:t>0</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sz w:val="18"/>
                <w:szCs w:val="18"/>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sz w:val="18"/>
                <w:szCs w:val="18"/>
              </w:rPr>
              <w:t>1</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sz w:val="18"/>
                <w:szCs w:val="18"/>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sz w:val="18"/>
                <w:szCs w:val="18"/>
              </w:rPr>
              <w:t>0</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sz w:val="18"/>
                <w:szCs w:val="18"/>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sz w:val="18"/>
                <w:szCs w:val="18"/>
              </w:rPr>
              <w:t>0</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sz w:val="18"/>
                <w:szCs w:val="18"/>
              </w:rPr>
              <w:t>0</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sz w:val="18"/>
                <w:szCs w:val="18"/>
              </w:rPr>
              <w:t>0</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sz w:val="18"/>
                <w:szCs w:val="18"/>
              </w:rPr>
              <w:t>0</w:t>
            </w:r>
          </w:p>
        </w:tc>
      </w:tr>
      <w:tr>
        <w:tblPrEx>
          <w:tblCellMar>
            <w:top w:w="0" w:type="dxa"/>
            <w:left w:w="108" w:type="dxa"/>
            <w:bottom w:w="0" w:type="dxa"/>
            <w:right w:w="108" w:type="dxa"/>
          </w:tblCellMar>
        </w:tblPrEx>
        <w:trPr>
          <w:trHeight w:val="85"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continue"/>
            <w:tcBorders>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其他饮用水</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39</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20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8</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8</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9</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6</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6</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8</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5</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r>
      <w:tr>
        <w:tblPrEx>
          <w:tblCellMar>
            <w:top w:w="0" w:type="dxa"/>
            <w:left w:w="108" w:type="dxa"/>
            <w:bottom w:w="0" w:type="dxa"/>
            <w:right w:w="108" w:type="dxa"/>
          </w:tblCellMar>
        </w:tblPrEx>
        <w:trPr>
          <w:trHeight w:val="85"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restart"/>
            <w:tcBorders>
              <w:top w:val="nil"/>
              <w:left w:val="nil"/>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方便食品</w:t>
            </w: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油炸面、非油炸面、方便米粉（米线）、方便粉丝</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15</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15</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r>
      <w:tr>
        <w:tblPrEx>
          <w:tblCellMar>
            <w:top w:w="0" w:type="dxa"/>
            <w:left w:w="108" w:type="dxa"/>
            <w:bottom w:w="0" w:type="dxa"/>
            <w:right w:w="108" w:type="dxa"/>
          </w:tblCellMar>
        </w:tblPrEx>
        <w:trPr>
          <w:trHeight w:val="892"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continue"/>
            <w:tcBorders>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方便粥、方便盒饭、冷面及其他熟制方便食品等</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12</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12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r>
      <w:tr>
        <w:tblPrEx>
          <w:tblCellMar>
            <w:top w:w="0" w:type="dxa"/>
            <w:left w:w="108" w:type="dxa"/>
            <w:bottom w:w="0" w:type="dxa"/>
            <w:right w:w="108" w:type="dxa"/>
          </w:tblCellMar>
        </w:tblPrEx>
        <w:trPr>
          <w:trHeight w:val="85"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饼干</w:t>
            </w: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饼干</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20</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20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4</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4</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4</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4</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4</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4</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4</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r>
      <w:tr>
        <w:tblPrEx>
          <w:tblCellMar>
            <w:top w:w="0" w:type="dxa"/>
            <w:left w:w="108" w:type="dxa"/>
            <w:bottom w:w="0" w:type="dxa"/>
            <w:right w:w="108" w:type="dxa"/>
          </w:tblCellMar>
        </w:tblPrEx>
        <w:trPr>
          <w:trHeight w:val="85"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罐头</w:t>
            </w:r>
          </w:p>
        </w:tc>
        <w:tc>
          <w:tcPr>
            <w:tcW w:w="476"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水果类罐头</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20</w:t>
            </w:r>
          </w:p>
        </w:tc>
        <w:tc>
          <w:tcPr>
            <w:tcW w:w="284"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20</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4</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4</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4</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4</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4</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4</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4</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4</w:t>
            </w:r>
          </w:p>
        </w:tc>
        <w:tc>
          <w:tcPr>
            <w:tcW w:w="229"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c>
          <w:tcPr>
            <w:tcW w:w="235"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r>
      <w:tr>
        <w:tblPrEx>
          <w:tblCellMar>
            <w:top w:w="0" w:type="dxa"/>
            <w:left w:w="108" w:type="dxa"/>
            <w:bottom w:w="0" w:type="dxa"/>
            <w:right w:w="108" w:type="dxa"/>
          </w:tblCellMar>
        </w:tblPrEx>
        <w:trPr>
          <w:trHeight w:val="90"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薯类和膨化食品</w:t>
            </w:r>
          </w:p>
        </w:tc>
        <w:tc>
          <w:tcPr>
            <w:tcW w:w="476"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膨化食品</w:t>
            </w:r>
          </w:p>
        </w:tc>
        <w:tc>
          <w:tcPr>
            <w:tcW w:w="277"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25</w:t>
            </w:r>
          </w:p>
        </w:tc>
        <w:tc>
          <w:tcPr>
            <w:tcW w:w="284" w:type="pct"/>
            <w:tcBorders>
              <w:top w:val="single" w:color="000000" w:sz="8" w:space="0"/>
              <w:left w:val="nil"/>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25</w:t>
            </w:r>
          </w:p>
        </w:tc>
        <w:tc>
          <w:tcPr>
            <w:tcW w:w="277"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84"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6</w:t>
            </w:r>
          </w:p>
        </w:tc>
        <w:tc>
          <w:tcPr>
            <w:tcW w:w="235"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6</w:t>
            </w:r>
          </w:p>
        </w:tc>
        <w:tc>
          <w:tcPr>
            <w:tcW w:w="277"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35"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84"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5</w:t>
            </w:r>
          </w:p>
        </w:tc>
        <w:tc>
          <w:tcPr>
            <w:tcW w:w="277"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84"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5</w:t>
            </w:r>
          </w:p>
        </w:tc>
        <w:tc>
          <w:tcPr>
            <w:tcW w:w="229"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35" w:type="pct"/>
            <w:tcBorders>
              <w:top w:val="single" w:color="000000" w:sz="8" w:space="0"/>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r>
      <w:tr>
        <w:tblPrEx>
          <w:tblCellMar>
            <w:top w:w="0" w:type="dxa"/>
            <w:left w:w="108" w:type="dxa"/>
            <w:bottom w:w="0" w:type="dxa"/>
            <w:right w:w="108" w:type="dxa"/>
          </w:tblCellMar>
        </w:tblPrEx>
        <w:trPr>
          <w:trHeight w:val="85"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茶叶</w:t>
            </w: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绿茶、红茶、白茶、花茶</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25</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10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8</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7</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5</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r>
      <w:tr>
        <w:tblPrEx>
          <w:tblCellMar>
            <w:top w:w="0" w:type="dxa"/>
            <w:left w:w="108" w:type="dxa"/>
            <w:bottom w:w="0" w:type="dxa"/>
            <w:right w:w="108" w:type="dxa"/>
          </w:tblCellMar>
        </w:tblPrEx>
        <w:trPr>
          <w:trHeight w:val="85"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酒类</w:t>
            </w:r>
          </w:p>
        </w:tc>
        <w:tc>
          <w:tcPr>
            <w:tcW w:w="476"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白酒、白酒（液态）、白酒（原酒）</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35</w:t>
            </w:r>
          </w:p>
        </w:tc>
        <w:tc>
          <w:tcPr>
            <w:tcW w:w="284"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23</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7</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5</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8</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6</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6</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5</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7</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5</w:t>
            </w:r>
          </w:p>
        </w:tc>
        <w:tc>
          <w:tcPr>
            <w:tcW w:w="229"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35"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r>
      <w:tr>
        <w:tblPrEx>
          <w:tblCellMar>
            <w:top w:w="0" w:type="dxa"/>
            <w:left w:w="108" w:type="dxa"/>
            <w:bottom w:w="0" w:type="dxa"/>
            <w:right w:w="108" w:type="dxa"/>
          </w:tblCellMar>
        </w:tblPrEx>
        <w:trPr>
          <w:trHeight w:val="85"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restart"/>
            <w:tcBorders>
              <w:top w:val="single" w:color="000000" w:sz="8" w:space="0"/>
              <w:left w:val="nil"/>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蔬菜制品</w:t>
            </w:r>
          </w:p>
        </w:tc>
        <w:tc>
          <w:tcPr>
            <w:tcW w:w="476"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酱腌菜</w:t>
            </w:r>
          </w:p>
        </w:tc>
        <w:tc>
          <w:tcPr>
            <w:tcW w:w="277"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20</w:t>
            </w:r>
          </w:p>
        </w:tc>
        <w:tc>
          <w:tcPr>
            <w:tcW w:w="284" w:type="pct"/>
            <w:tcBorders>
              <w:top w:val="single" w:color="000000" w:sz="8" w:space="0"/>
              <w:left w:val="nil"/>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15</w:t>
            </w:r>
          </w:p>
        </w:tc>
        <w:tc>
          <w:tcPr>
            <w:tcW w:w="277"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5</w:t>
            </w:r>
          </w:p>
        </w:tc>
        <w:tc>
          <w:tcPr>
            <w:tcW w:w="284"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77"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35"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35"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77"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84"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29"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35" w:type="pct"/>
            <w:tcBorders>
              <w:top w:val="single" w:color="000000" w:sz="8" w:space="0"/>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r>
      <w:tr>
        <w:tblPrEx>
          <w:tblCellMar>
            <w:top w:w="0" w:type="dxa"/>
            <w:left w:w="108" w:type="dxa"/>
            <w:bottom w:w="0" w:type="dxa"/>
            <w:right w:w="108" w:type="dxa"/>
          </w:tblCellMar>
        </w:tblPrEx>
        <w:trPr>
          <w:trHeight w:val="85"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continue"/>
            <w:tcBorders>
              <w:left w:val="nil"/>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蔬菜干制品</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38</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26</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6</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6</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8</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7</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6</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6</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8</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6</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r>
      <w:tr>
        <w:tblPrEx>
          <w:tblCellMar>
            <w:top w:w="0" w:type="dxa"/>
            <w:left w:w="108" w:type="dxa"/>
            <w:bottom w:w="0" w:type="dxa"/>
            <w:right w:w="108" w:type="dxa"/>
          </w:tblCellMar>
        </w:tblPrEx>
        <w:trPr>
          <w:trHeight w:val="85"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continue"/>
            <w:tcBorders>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干制食用菌</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12</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9</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r>
      <w:tr>
        <w:tblPrEx>
          <w:tblCellMar>
            <w:top w:w="0" w:type="dxa"/>
            <w:left w:w="108" w:type="dxa"/>
            <w:bottom w:w="0" w:type="dxa"/>
            <w:right w:w="108" w:type="dxa"/>
          </w:tblCellMar>
        </w:tblPrEx>
        <w:trPr>
          <w:trHeight w:val="22"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restart"/>
            <w:tcBorders>
              <w:top w:val="nil"/>
              <w:left w:val="nil"/>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炒货食品及坚果制品</w:t>
            </w: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开心果、杏仁、扁桃仁、松仁、瓜子</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15</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13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r>
      <w:tr>
        <w:tblPrEx>
          <w:tblCellMar>
            <w:top w:w="0" w:type="dxa"/>
            <w:left w:w="108" w:type="dxa"/>
            <w:bottom w:w="0" w:type="dxa"/>
            <w:right w:w="108" w:type="dxa"/>
          </w:tblCellMar>
        </w:tblPrEx>
        <w:trPr>
          <w:trHeight w:val="22"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sz w:val="18"/>
                <w:szCs w:val="18"/>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continue"/>
            <w:tcBorders>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其他炒货食品及坚果制品</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15</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9</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r>
      <w:tr>
        <w:tblPrEx>
          <w:tblCellMar>
            <w:top w:w="0" w:type="dxa"/>
            <w:left w:w="108" w:type="dxa"/>
            <w:bottom w:w="0" w:type="dxa"/>
            <w:right w:w="108" w:type="dxa"/>
          </w:tblCellMar>
        </w:tblPrEx>
        <w:trPr>
          <w:trHeight w:val="22"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restart"/>
            <w:tcBorders>
              <w:top w:val="nil"/>
              <w:left w:val="nil"/>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淀粉及淀粉制品</w:t>
            </w: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淀粉</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15</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13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r>
      <w:tr>
        <w:tblPrEx>
          <w:tblCellMar>
            <w:top w:w="0" w:type="dxa"/>
            <w:left w:w="108" w:type="dxa"/>
            <w:bottom w:w="0" w:type="dxa"/>
            <w:right w:w="108" w:type="dxa"/>
          </w:tblCellMar>
        </w:tblPrEx>
        <w:trPr>
          <w:trHeight w:val="22"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continue"/>
            <w:tcBorders>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粉丝粉条</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25</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25</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5</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5</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5</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5</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5</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5</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5</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6</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r>
      <w:tr>
        <w:tblPrEx>
          <w:tblCellMar>
            <w:top w:w="0" w:type="dxa"/>
            <w:left w:w="108" w:type="dxa"/>
            <w:bottom w:w="0" w:type="dxa"/>
            <w:right w:w="108" w:type="dxa"/>
          </w:tblCellMar>
        </w:tblPrEx>
        <w:trPr>
          <w:trHeight w:val="22"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restart"/>
            <w:tcBorders>
              <w:top w:val="nil"/>
              <w:left w:val="nil"/>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糕点</w:t>
            </w: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糕点</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12</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9</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35" w:type="pct"/>
            <w:tcBorders>
              <w:top w:val="nil"/>
              <w:left w:val="nil"/>
              <w:bottom w:val="single" w:color="000000" w:sz="8" w:space="0"/>
              <w:right w:val="single" w:color="000000" w:sz="8" w:space="0"/>
            </w:tcBorders>
            <w:noWrap w:val="0"/>
            <w:vAlign w:val="center"/>
          </w:tcPr>
          <w:p>
            <w:pPr>
              <w:widowControl/>
              <w:spacing w:line="200" w:lineRule="exact"/>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r>
      <w:tr>
        <w:tblPrEx>
          <w:tblCellMar>
            <w:top w:w="0" w:type="dxa"/>
            <w:left w:w="108" w:type="dxa"/>
            <w:bottom w:w="0" w:type="dxa"/>
            <w:right w:w="108" w:type="dxa"/>
          </w:tblCellMar>
        </w:tblPrEx>
        <w:trPr>
          <w:trHeight w:val="22"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continue"/>
            <w:tcBorders>
              <w:left w:val="nil"/>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月饼</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20</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r>
      <w:tr>
        <w:tblPrEx>
          <w:tblCellMar>
            <w:top w:w="0" w:type="dxa"/>
            <w:left w:w="108" w:type="dxa"/>
            <w:bottom w:w="0" w:type="dxa"/>
            <w:right w:w="108" w:type="dxa"/>
          </w:tblCellMar>
        </w:tblPrEx>
        <w:trPr>
          <w:trHeight w:val="22"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continue"/>
            <w:tcBorders>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粽子</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20</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20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r>
      <w:tr>
        <w:tblPrEx>
          <w:tblCellMar>
            <w:top w:w="0" w:type="dxa"/>
            <w:left w:w="108" w:type="dxa"/>
            <w:bottom w:w="0" w:type="dxa"/>
            <w:right w:w="108" w:type="dxa"/>
          </w:tblCellMar>
        </w:tblPrEx>
        <w:trPr>
          <w:trHeight w:val="22"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豆制品</w:t>
            </w: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豆干、豆腐、豆皮等</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15</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15</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r>
      <w:tr>
        <w:tblPrEx>
          <w:tblCellMar>
            <w:top w:w="0" w:type="dxa"/>
            <w:left w:w="108" w:type="dxa"/>
            <w:bottom w:w="0" w:type="dxa"/>
            <w:right w:w="108" w:type="dxa"/>
          </w:tblCellMar>
        </w:tblPrEx>
        <w:trPr>
          <w:trHeight w:val="22"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restart"/>
            <w:tcBorders>
              <w:top w:val="nil"/>
              <w:left w:val="nil"/>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餐饮食品</w:t>
            </w: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发酵面制品（自制）</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30</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21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6</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5</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5</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5</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6</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5</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r>
      <w:tr>
        <w:tblPrEx>
          <w:tblCellMar>
            <w:top w:w="0" w:type="dxa"/>
            <w:left w:w="108" w:type="dxa"/>
            <w:bottom w:w="0" w:type="dxa"/>
            <w:right w:w="108" w:type="dxa"/>
          </w:tblCellMar>
        </w:tblPrEx>
        <w:trPr>
          <w:trHeight w:val="22"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continue"/>
            <w:tcBorders>
              <w:left w:val="nil"/>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油炸面制品（自制）</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10</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8</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2</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2</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2</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ascii="宋体" w:hAnsi="宋体" w:cs="宋体"/>
                <w:b/>
                <w:bCs/>
                <w:kern w:val="0"/>
                <w:sz w:val="18"/>
                <w:szCs w:val="18"/>
                <w:lang w:bidi="ar"/>
              </w:rPr>
            </w:pPr>
            <w:r>
              <w:rPr>
                <w:rFonts w:hint="eastAsia" w:ascii="宋体" w:hAnsi="宋体" w:cs="宋体"/>
                <w:b/>
                <w:bCs/>
                <w:kern w:val="0"/>
                <w:sz w:val="18"/>
                <w:szCs w:val="18"/>
                <w:lang w:bidi="ar"/>
              </w:rPr>
              <w:t>0</w:t>
            </w:r>
          </w:p>
        </w:tc>
      </w:tr>
      <w:tr>
        <w:tblPrEx>
          <w:tblCellMar>
            <w:top w:w="0" w:type="dxa"/>
            <w:left w:w="108" w:type="dxa"/>
            <w:bottom w:w="0" w:type="dxa"/>
            <w:right w:w="108" w:type="dxa"/>
          </w:tblCellMar>
        </w:tblPrEx>
        <w:trPr>
          <w:trHeight w:val="22"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continue"/>
            <w:tcBorders>
              <w:left w:val="nil"/>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复用餐饮具（餐馆自行消毒）</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15</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r>
      <w:tr>
        <w:tblPrEx>
          <w:tblCellMar>
            <w:top w:w="0" w:type="dxa"/>
            <w:left w:w="108" w:type="dxa"/>
            <w:bottom w:w="0" w:type="dxa"/>
            <w:right w:w="108" w:type="dxa"/>
          </w:tblCellMar>
        </w:tblPrEx>
        <w:trPr>
          <w:trHeight w:val="22"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continue"/>
            <w:tcBorders>
              <w:left w:val="nil"/>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复用餐饮具餐馆集中清洗消毒服务单位消毒</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20</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r>
      <w:tr>
        <w:tblPrEx>
          <w:tblCellMar>
            <w:top w:w="0" w:type="dxa"/>
            <w:left w:w="108" w:type="dxa"/>
            <w:bottom w:w="0" w:type="dxa"/>
            <w:right w:w="108" w:type="dxa"/>
          </w:tblCellMar>
        </w:tblPrEx>
        <w:trPr>
          <w:trHeight w:val="22"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continue"/>
            <w:tcBorders>
              <w:left w:val="nil"/>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米粉</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20</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11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4</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r>
      <w:tr>
        <w:tblPrEx>
          <w:tblCellMar>
            <w:top w:w="0" w:type="dxa"/>
            <w:left w:w="108" w:type="dxa"/>
            <w:bottom w:w="0" w:type="dxa"/>
            <w:right w:w="108" w:type="dxa"/>
          </w:tblCellMar>
        </w:tblPrEx>
        <w:trPr>
          <w:trHeight w:val="22"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continue"/>
            <w:tcBorders>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散装配制酒（餐饮单位自制）</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12</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r>
      <w:tr>
        <w:tblPrEx>
          <w:tblCellMar>
            <w:top w:w="0" w:type="dxa"/>
            <w:left w:w="108" w:type="dxa"/>
            <w:bottom w:w="0" w:type="dxa"/>
            <w:right w:w="108" w:type="dxa"/>
          </w:tblCellMar>
        </w:tblPrEx>
        <w:trPr>
          <w:trHeight w:val="83"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restar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节令食品</w:t>
            </w:r>
          </w:p>
        </w:tc>
        <w:tc>
          <w:tcPr>
            <w:tcW w:w="476"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食用植物油</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5</w:t>
            </w:r>
          </w:p>
        </w:tc>
        <w:tc>
          <w:tcPr>
            <w:tcW w:w="284"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5</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c>
          <w:tcPr>
            <w:tcW w:w="229"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35"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r>
      <w:tr>
        <w:tblPrEx>
          <w:tblCellMar>
            <w:top w:w="0" w:type="dxa"/>
            <w:left w:w="108" w:type="dxa"/>
            <w:bottom w:w="0" w:type="dxa"/>
            <w:right w:w="108" w:type="dxa"/>
          </w:tblCellMar>
        </w:tblPrEx>
        <w:trPr>
          <w:trHeight w:val="83"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sz w:val="18"/>
                <w:szCs w:val="18"/>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continue"/>
            <w:tcBorders>
              <w:top w:val="single" w:color="000000" w:sz="8" w:space="0"/>
              <w:left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476"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大米</w:t>
            </w:r>
          </w:p>
        </w:tc>
        <w:tc>
          <w:tcPr>
            <w:tcW w:w="277"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5</w:t>
            </w:r>
          </w:p>
        </w:tc>
        <w:tc>
          <w:tcPr>
            <w:tcW w:w="284" w:type="pct"/>
            <w:tcBorders>
              <w:top w:val="single" w:color="000000" w:sz="8" w:space="0"/>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5</w:t>
            </w:r>
          </w:p>
        </w:tc>
        <w:tc>
          <w:tcPr>
            <w:tcW w:w="277"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c>
          <w:tcPr>
            <w:tcW w:w="284"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c>
          <w:tcPr>
            <w:tcW w:w="277"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c>
          <w:tcPr>
            <w:tcW w:w="235"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c>
          <w:tcPr>
            <w:tcW w:w="277"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c>
          <w:tcPr>
            <w:tcW w:w="235"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c>
          <w:tcPr>
            <w:tcW w:w="277"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c>
          <w:tcPr>
            <w:tcW w:w="284"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c>
          <w:tcPr>
            <w:tcW w:w="277"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c>
          <w:tcPr>
            <w:tcW w:w="284"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c>
          <w:tcPr>
            <w:tcW w:w="229"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0</w:t>
            </w:r>
          </w:p>
        </w:tc>
        <w:tc>
          <w:tcPr>
            <w:tcW w:w="235" w:type="pct"/>
            <w:tcBorders>
              <w:top w:val="single" w:color="000000" w:sz="8" w:space="0"/>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0</w:t>
            </w:r>
          </w:p>
        </w:tc>
      </w:tr>
      <w:tr>
        <w:tblPrEx>
          <w:tblCellMar>
            <w:top w:w="0" w:type="dxa"/>
            <w:left w:w="108" w:type="dxa"/>
            <w:bottom w:w="0" w:type="dxa"/>
            <w:right w:w="108" w:type="dxa"/>
          </w:tblCellMar>
        </w:tblPrEx>
        <w:trPr>
          <w:trHeight w:val="83" w:hRule="atLeast"/>
          <w:jc w:val="center"/>
        </w:trPr>
        <w:tc>
          <w:tcPr>
            <w:tcW w:w="22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continue"/>
            <w:tcBorders>
              <w:left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476"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米线</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5</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5</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2</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1</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c>
          <w:tcPr>
            <w:tcW w:w="235"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0</w:t>
            </w:r>
          </w:p>
        </w:tc>
      </w:tr>
      <w:tr>
        <w:tblPrEx>
          <w:tblCellMar>
            <w:top w:w="0" w:type="dxa"/>
            <w:left w:w="108" w:type="dxa"/>
            <w:bottom w:w="0" w:type="dxa"/>
            <w:right w:w="108" w:type="dxa"/>
          </w:tblCellMar>
        </w:tblPrEx>
        <w:trPr>
          <w:trHeight w:val="930" w:hRule="atLeast"/>
          <w:jc w:val="center"/>
        </w:trPr>
        <w:tc>
          <w:tcPr>
            <w:tcW w:w="221" w:type="pct"/>
            <w:vMerge w:val="continue"/>
            <w:tcBorders>
              <w:top w:val="single" w:color="000000" w:sz="8" w:space="0"/>
              <w:left w:val="single" w:color="000000" w:sz="8" w:space="0"/>
              <w:bottom w:val="nil"/>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continue"/>
            <w:tcBorders>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476"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腌制肉制品</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15</w:t>
            </w:r>
          </w:p>
        </w:tc>
        <w:tc>
          <w:tcPr>
            <w:tcW w:w="284"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kern w:val="0"/>
                <w:sz w:val="18"/>
                <w:szCs w:val="18"/>
                <w:lang w:bidi="ar"/>
              </w:rPr>
            </w:pPr>
            <w:r>
              <w:rPr>
                <w:rFonts w:hint="eastAsia" w:ascii="宋体" w:hAnsi="宋体" w:cs="宋体"/>
                <w:b/>
                <w:bCs/>
                <w:kern w:val="0"/>
                <w:sz w:val="18"/>
                <w:szCs w:val="18"/>
                <w:lang w:bidi="ar"/>
              </w:rPr>
              <w:t>15</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3</w:t>
            </w:r>
          </w:p>
        </w:tc>
        <w:tc>
          <w:tcPr>
            <w:tcW w:w="229"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0</w:t>
            </w:r>
          </w:p>
        </w:tc>
        <w:tc>
          <w:tcPr>
            <w:tcW w:w="235"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0</w:t>
            </w:r>
          </w:p>
        </w:tc>
      </w:tr>
      <w:tr>
        <w:tblPrEx>
          <w:tblCellMar>
            <w:top w:w="0" w:type="dxa"/>
            <w:left w:w="108" w:type="dxa"/>
            <w:bottom w:w="0" w:type="dxa"/>
            <w:right w:w="108" w:type="dxa"/>
          </w:tblCellMar>
        </w:tblPrEx>
        <w:trPr>
          <w:trHeight w:val="492" w:hRule="atLeast"/>
          <w:jc w:val="center"/>
        </w:trPr>
        <w:tc>
          <w:tcPr>
            <w:tcW w:w="221" w:type="pct"/>
            <w:vMerge w:val="restart"/>
            <w:tcBorders>
              <w:top w:val="nil"/>
              <w:left w:val="single" w:color="auto" w:sz="4" w:space="0"/>
              <w:bottom w:val="nil"/>
              <w:right w:val="single" w:color="auto" w:sz="4" w:space="0"/>
            </w:tcBorders>
            <w:noWrap w:val="0"/>
            <w:vAlign w:val="center"/>
          </w:tcPr>
          <w:p>
            <w:pPr>
              <w:spacing w:line="200" w:lineRule="exact"/>
              <w:jc w:val="center"/>
              <w:rPr>
                <w:rFonts w:hint="eastAsia" w:ascii="宋体" w:hAnsi="宋体" w:cs="宋体"/>
                <w:sz w:val="18"/>
                <w:szCs w:val="18"/>
              </w:rPr>
            </w:pPr>
          </w:p>
        </w:tc>
        <w:tc>
          <w:tcPr>
            <w:tcW w:w="221" w:type="pct"/>
            <w:vMerge w:val="continue"/>
            <w:tcBorders>
              <w:top w:val="single" w:color="000000" w:sz="8" w:space="0"/>
              <w:left w:val="single" w:color="auto" w:sz="4"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sz w:val="18"/>
                <w:szCs w:val="18"/>
              </w:rPr>
            </w:pPr>
          </w:p>
        </w:tc>
        <w:tc>
          <w:tcPr>
            <w:tcW w:w="817" w:type="pct"/>
            <w:gridSpan w:val="2"/>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小计</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sz w:val="18"/>
                <w:szCs w:val="18"/>
                <w:lang w:val="en"/>
              </w:rPr>
            </w:pPr>
            <w:r>
              <w:rPr>
                <w:rFonts w:ascii="宋体" w:hAnsi="宋体" w:cs="宋体"/>
                <w:b/>
                <w:bCs/>
                <w:sz w:val="18"/>
                <w:szCs w:val="18"/>
                <w:lang w:val="en"/>
              </w:rPr>
              <w:t>700</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sz w:val="18"/>
                <w:szCs w:val="18"/>
                <w:lang w:val="en"/>
              </w:rPr>
            </w:pPr>
            <w:r>
              <w:rPr>
                <w:rFonts w:ascii="宋体" w:hAnsi="宋体" w:cs="宋体"/>
                <w:b/>
                <w:bCs/>
                <w:sz w:val="18"/>
                <w:szCs w:val="18"/>
                <w:lang w:val="en"/>
              </w:rPr>
              <w:t>510</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sz w:val="18"/>
                <w:szCs w:val="18"/>
                <w:lang w:val="en"/>
              </w:rPr>
            </w:pPr>
            <w:r>
              <w:rPr>
                <w:rFonts w:ascii="宋体" w:hAnsi="宋体" w:cs="宋体"/>
                <w:b/>
                <w:bCs/>
                <w:sz w:val="18"/>
                <w:szCs w:val="18"/>
                <w:lang w:val="en"/>
              </w:rPr>
              <w:t>144</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sz w:val="18"/>
                <w:szCs w:val="18"/>
                <w:lang w:val="en"/>
              </w:rPr>
            </w:pPr>
            <w:r>
              <w:rPr>
                <w:rFonts w:ascii="宋体" w:hAnsi="宋体" w:cs="宋体"/>
                <w:b/>
                <w:bCs/>
                <w:sz w:val="18"/>
                <w:szCs w:val="18"/>
                <w:lang w:val="en"/>
              </w:rPr>
              <w:t>117</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sz w:val="18"/>
                <w:szCs w:val="18"/>
                <w:lang w:val="en"/>
              </w:rPr>
            </w:pPr>
            <w:r>
              <w:rPr>
                <w:rFonts w:ascii="宋体" w:hAnsi="宋体" w:cs="宋体"/>
                <w:b/>
                <w:bCs/>
                <w:sz w:val="18"/>
                <w:szCs w:val="18"/>
                <w:lang w:val="en"/>
              </w:rPr>
              <w:t>136</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sz w:val="18"/>
                <w:szCs w:val="18"/>
                <w:lang w:val="en"/>
              </w:rPr>
            </w:pPr>
            <w:r>
              <w:rPr>
                <w:rFonts w:ascii="宋体" w:hAnsi="宋体" w:cs="宋体"/>
                <w:b/>
                <w:bCs/>
                <w:sz w:val="18"/>
                <w:szCs w:val="18"/>
                <w:lang w:val="en"/>
              </w:rPr>
              <w:t>83</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sz w:val="18"/>
                <w:szCs w:val="18"/>
                <w:lang w:val="en"/>
              </w:rPr>
            </w:pPr>
            <w:r>
              <w:rPr>
                <w:rFonts w:ascii="宋体" w:hAnsi="宋体" w:cs="宋体"/>
                <w:b/>
                <w:bCs/>
                <w:sz w:val="18"/>
                <w:szCs w:val="18"/>
                <w:lang w:val="en"/>
              </w:rPr>
              <w:t>119</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sz w:val="18"/>
                <w:szCs w:val="18"/>
                <w:lang w:val="en"/>
              </w:rPr>
            </w:pPr>
            <w:r>
              <w:rPr>
                <w:rFonts w:ascii="宋体" w:hAnsi="宋体" w:cs="宋体"/>
                <w:b/>
                <w:bCs/>
                <w:sz w:val="18"/>
                <w:szCs w:val="18"/>
                <w:lang w:val="en"/>
              </w:rPr>
              <w:t>66</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sz w:val="18"/>
                <w:szCs w:val="18"/>
                <w:lang w:val="en"/>
              </w:rPr>
            </w:pPr>
            <w:r>
              <w:rPr>
                <w:rFonts w:ascii="宋体" w:hAnsi="宋体" w:cs="宋体"/>
                <w:b/>
                <w:bCs/>
                <w:sz w:val="18"/>
                <w:szCs w:val="18"/>
                <w:lang w:val="en"/>
              </w:rPr>
              <w:t>119</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sz w:val="18"/>
                <w:szCs w:val="18"/>
                <w:lang w:val="en"/>
              </w:rPr>
            </w:pPr>
            <w:r>
              <w:rPr>
                <w:rFonts w:ascii="宋体" w:hAnsi="宋体" w:cs="宋体"/>
                <w:b/>
                <w:bCs/>
                <w:sz w:val="18"/>
                <w:szCs w:val="18"/>
                <w:lang w:val="en"/>
              </w:rPr>
              <w:t>88</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sz w:val="18"/>
                <w:szCs w:val="18"/>
                <w:lang w:val="en"/>
              </w:rPr>
            </w:pPr>
            <w:r>
              <w:rPr>
                <w:rFonts w:ascii="宋体" w:hAnsi="宋体" w:cs="宋体"/>
                <w:b/>
                <w:bCs/>
                <w:sz w:val="18"/>
                <w:szCs w:val="18"/>
                <w:lang w:val="en"/>
              </w:rPr>
              <w:t>132</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sz w:val="18"/>
                <w:szCs w:val="18"/>
                <w:lang w:val="en"/>
              </w:rPr>
            </w:pPr>
            <w:r>
              <w:rPr>
                <w:rFonts w:ascii="宋体" w:hAnsi="宋体" w:cs="宋体"/>
                <w:b/>
                <w:bCs/>
                <w:sz w:val="18"/>
                <w:szCs w:val="18"/>
                <w:lang w:val="en"/>
              </w:rPr>
              <w:t>111</w:t>
            </w:r>
          </w:p>
        </w:tc>
        <w:tc>
          <w:tcPr>
            <w:tcW w:w="229"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sz w:val="18"/>
                <w:szCs w:val="18"/>
                <w:lang w:val="en"/>
              </w:rPr>
            </w:pPr>
            <w:r>
              <w:rPr>
                <w:rFonts w:ascii="宋体" w:hAnsi="宋体" w:cs="宋体"/>
                <w:b/>
                <w:bCs/>
                <w:sz w:val="18"/>
                <w:szCs w:val="18"/>
                <w:lang w:val="en"/>
              </w:rPr>
              <w:t>50</w:t>
            </w:r>
          </w:p>
        </w:tc>
        <w:tc>
          <w:tcPr>
            <w:tcW w:w="235"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ascii="宋体" w:hAnsi="宋体" w:cs="宋体"/>
                <w:b/>
                <w:bCs/>
                <w:sz w:val="18"/>
                <w:szCs w:val="18"/>
                <w:lang w:val="en"/>
              </w:rPr>
            </w:pPr>
            <w:r>
              <w:rPr>
                <w:rFonts w:ascii="宋体" w:hAnsi="宋体" w:cs="宋体"/>
                <w:b/>
                <w:bCs/>
                <w:sz w:val="18"/>
                <w:szCs w:val="18"/>
                <w:lang w:val="en"/>
              </w:rPr>
              <w:t>45</w:t>
            </w:r>
          </w:p>
        </w:tc>
      </w:tr>
      <w:tr>
        <w:tblPrEx>
          <w:tblCellMar>
            <w:top w:w="0" w:type="dxa"/>
            <w:left w:w="108" w:type="dxa"/>
            <w:bottom w:w="0" w:type="dxa"/>
            <w:right w:w="108" w:type="dxa"/>
          </w:tblCellMar>
        </w:tblPrEx>
        <w:trPr>
          <w:trHeight w:val="382" w:hRule="atLeast"/>
          <w:jc w:val="center"/>
        </w:trPr>
        <w:tc>
          <w:tcPr>
            <w:tcW w:w="221" w:type="pct"/>
            <w:vMerge w:val="continue"/>
            <w:tcBorders>
              <w:top w:val="nil"/>
              <w:left w:val="single" w:color="auto" w:sz="4" w:space="0"/>
              <w:bottom w:val="nil"/>
              <w:right w:val="single" w:color="auto" w:sz="4" w:space="0"/>
            </w:tcBorders>
            <w:noWrap w:val="0"/>
            <w:vAlign w:val="center"/>
          </w:tcPr>
          <w:p>
            <w:pPr>
              <w:pStyle w:val="5"/>
              <w:spacing w:after="0" w:line="200" w:lineRule="exact"/>
              <w:jc w:val="center"/>
              <w:rPr>
                <w:rFonts w:hint="eastAsia" w:ascii="宋体" w:hAnsi="宋体" w:cs="宋体"/>
                <w:sz w:val="18"/>
                <w:szCs w:val="18"/>
              </w:rPr>
            </w:pPr>
          </w:p>
        </w:tc>
        <w:tc>
          <w:tcPr>
            <w:tcW w:w="221" w:type="pct"/>
            <w:vMerge w:val="restart"/>
            <w:tcBorders>
              <w:top w:val="single" w:color="000000" w:sz="8" w:space="0"/>
              <w:left w:val="single" w:color="auto" w:sz="4" w:space="0"/>
              <w:bottom w:val="single" w:color="000000" w:sz="8" w:space="0"/>
              <w:right w:val="single" w:color="000000" w:sz="8" w:space="0"/>
            </w:tcBorders>
            <w:noWrap w:val="0"/>
            <w:vAlign w:val="center"/>
          </w:tcPr>
          <w:p>
            <w:pPr>
              <w:widowControl/>
              <w:spacing w:line="200" w:lineRule="exact"/>
              <w:textAlignment w:val="center"/>
              <w:rPr>
                <w:rFonts w:hint="eastAsia" w:ascii="宋体" w:hAnsi="宋体" w:cs="宋体"/>
                <w:kern w:val="0"/>
                <w:sz w:val="18"/>
                <w:szCs w:val="18"/>
                <w:lang w:bidi="ar"/>
              </w:rPr>
            </w:pPr>
            <w:r>
              <w:rPr>
                <w:rFonts w:hint="eastAsia" w:ascii="宋体" w:hAnsi="宋体" w:cs="宋体"/>
                <w:kern w:val="0"/>
                <w:sz w:val="18"/>
                <w:szCs w:val="18"/>
                <w:lang w:bidi="ar"/>
              </w:rPr>
              <w:t>回</w:t>
            </w:r>
          </w:p>
          <w:p>
            <w:pPr>
              <w:widowControl/>
              <w:spacing w:line="200" w:lineRule="exact"/>
              <w:textAlignment w:val="center"/>
              <w:rPr>
                <w:rFonts w:hint="eastAsia" w:ascii="宋体" w:hAnsi="宋体" w:cs="宋体"/>
                <w:kern w:val="0"/>
                <w:sz w:val="18"/>
                <w:szCs w:val="18"/>
                <w:lang w:bidi="ar"/>
              </w:rPr>
            </w:pPr>
          </w:p>
          <w:p>
            <w:pPr>
              <w:widowControl/>
              <w:spacing w:line="200" w:lineRule="exact"/>
              <w:textAlignment w:val="center"/>
              <w:rPr>
                <w:rFonts w:hint="eastAsia" w:ascii="宋体" w:hAnsi="宋体" w:cs="宋体"/>
                <w:kern w:val="0"/>
                <w:sz w:val="18"/>
                <w:szCs w:val="18"/>
                <w:lang w:bidi="ar"/>
              </w:rPr>
            </w:pPr>
            <w:r>
              <w:rPr>
                <w:rFonts w:hint="eastAsia" w:ascii="宋体" w:hAnsi="宋体" w:cs="宋体"/>
                <w:kern w:val="0"/>
                <w:sz w:val="18"/>
                <w:szCs w:val="18"/>
                <w:lang w:bidi="ar"/>
              </w:rPr>
              <w:t>头</w:t>
            </w:r>
          </w:p>
          <w:p>
            <w:pPr>
              <w:widowControl/>
              <w:spacing w:line="200" w:lineRule="exact"/>
              <w:textAlignment w:val="center"/>
              <w:rPr>
                <w:rFonts w:hint="eastAsia" w:ascii="宋体" w:hAnsi="宋体" w:cs="宋体"/>
                <w:kern w:val="0"/>
                <w:sz w:val="18"/>
                <w:szCs w:val="18"/>
                <w:lang w:bidi="ar"/>
              </w:rPr>
            </w:pPr>
          </w:p>
          <w:p>
            <w:pPr>
              <w:widowControl/>
              <w:spacing w:line="200" w:lineRule="exact"/>
              <w:textAlignment w:val="center"/>
              <w:rPr>
                <w:rFonts w:ascii="宋体" w:hAnsi="宋体" w:eastAsia="宋体" w:cs="宋体"/>
                <w:kern w:val="0"/>
                <w:sz w:val="18"/>
                <w:szCs w:val="18"/>
                <w:lang w:bidi="ar"/>
              </w:rPr>
            </w:pPr>
            <w:r>
              <w:rPr>
                <w:rFonts w:hint="eastAsia" w:ascii="宋体" w:hAnsi="宋体" w:cs="宋体"/>
                <w:kern w:val="0"/>
                <w:sz w:val="18"/>
                <w:szCs w:val="18"/>
                <w:lang w:bidi="ar"/>
              </w:rPr>
              <w:t>看</w:t>
            </w:r>
          </w:p>
        </w:tc>
        <w:tc>
          <w:tcPr>
            <w:tcW w:w="341"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textAlignment w:val="center"/>
              <w:rPr>
                <w:rFonts w:ascii="宋体" w:hAnsi="宋体" w:eastAsia="宋体" w:cs="宋体"/>
                <w:sz w:val="18"/>
                <w:szCs w:val="18"/>
              </w:rPr>
            </w:pPr>
            <w:r>
              <w:rPr>
                <w:rFonts w:hint="eastAsia" w:ascii="宋体" w:hAnsi="宋体" w:eastAsia="宋体" w:cs="宋体"/>
                <w:sz w:val="18"/>
                <w:szCs w:val="18"/>
              </w:rPr>
              <w:t>糕点</w:t>
            </w:r>
          </w:p>
        </w:tc>
        <w:tc>
          <w:tcPr>
            <w:tcW w:w="476"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eastAsia="宋体" w:cs="宋体"/>
                <w:kern w:val="0"/>
                <w:sz w:val="18"/>
                <w:szCs w:val="18"/>
                <w:lang w:bidi="ar"/>
              </w:rPr>
              <w:t>月饼</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eastAsia="宋体" w:cs="宋体"/>
                <w:b/>
                <w:bCs/>
                <w:sz w:val="18"/>
                <w:szCs w:val="18"/>
              </w:rPr>
              <w:t>1</w:t>
            </w:r>
          </w:p>
        </w:tc>
        <w:tc>
          <w:tcPr>
            <w:tcW w:w="284"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eastAsia="宋体" w:cs="宋体"/>
                <w:b/>
                <w:bCs/>
                <w:sz w:val="18"/>
                <w:szCs w:val="18"/>
              </w:rPr>
              <w:t>1</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eastAsia="宋体" w:cs="宋体"/>
                <w:b/>
                <w:bCs/>
                <w:sz w:val="18"/>
                <w:szCs w:val="18"/>
              </w:rPr>
              <w:t>1</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eastAsia="宋体" w:cs="宋体"/>
                <w:b/>
                <w:bCs/>
                <w:sz w:val="18"/>
                <w:szCs w:val="18"/>
              </w:rPr>
              <w:t>1</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29"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r>
      <w:tr>
        <w:tblPrEx>
          <w:tblCellMar>
            <w:top w:w="0" w:type="dxa"/>
            <w:left w:w="108" w:type="dxa"/>
            <w:bottom w:w="0" w:type="dxa"/>
            <w:right w:w="108" w:type="dxa"/>
          </w:tblCellMar>
        </w:tblPrEx>
        <w:trPr>
          <w:trHeight w:val="382" w:hRule="atLeast"/>
          <w:jc w:val="center"/>
        </w:trPr>
        <w:tc>
          <w:tcPr>
            <w:tcW w:w="221" w:type="pct"/>
            <w:vMerge w:val="restart"/>
            <w:tcBorders>
              <w:top w:val="nil"/>
              <w:left w:val="single" w:color="auto" w:sz="4" w:space="0"/>
              <w:bottom w:val="nil"/>
              <w:right w:val="single" w:color="auto" w:sz="4" w:space="0"/>
            </w:tcBorders>
            <w:noWrap w:val="0"/>
            <w:vAlign w:val="center"/>
          </w:tcPr>
          <w:p>
            <w:pPr>
              <w:pStyle w:val="5"/>
              <w:spacing w:after="0" w:line="200" w:lineRule="exact"/>
              <w:jc w:val="center"/>
              <w:rPr>
                <w:rFonts w:ascii="宋体" w:hAnsi="宋体" w:cs="宋体"/>
                <w:sz w:val="18"/>
                <w:szCs w:val="18"/>
              </w:rPr>
            </w:pPr>
            <w:r>
              <w:rPr>
                <w:rFonts w:hint="eastAsia" w:ascii="宋体" w:hAnsi="宋体" w:cs="宋体"/>
                <w:b/>
                <w:bCs/>
                <w:sz w:val="18"/>
                <w:szCs w:val="18"/>
              </w:rPr>
              <w:t>2</w:t>
            </w:r>
          </w:p>
        </w:tc>
        <w:tc>
          <w:tcPr>
            <w:tcW w:w="221" w:type="pct"/>
            <w:vMerge w:val="continue"/>
            <w:tcBorders>
              <w:top w:val="single" w:color="000000" w:sz="8" w:space="0"/>
              <w:left w:val="single" w:color="auto" w:sz="4"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sz w:val="18"/>
                <w:szCs w:val="18"/>
              </w:rPr>
            </w:pPr>
            <w:r>
              <w:rPr>
                <w:rFonts w:hint="eastAsia" w:ascii="宋体" w:hAnsi="宋体" w:eastAsia="宋体" w:cs="宋体"/>
                <w:sz w:val="18"/>
                <w:szCs w:val="18"/>
              </w:rPr>
              <w:t>蔬菜干制品</w:t>
            </w:r>
          </w:p>
        </w:tc>
        <w:tc>
          <w:tcPr>
            <w:tcW w:w="476"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eastAsia="宋体" w:cs="宋体"/>
                <w:kern w:val="0"/>
                <w:sz w:val="18"/>
                <w:szCs w:val="18"/>
                <w:lang w:bidi="ar"/>
              </w:rPr>
              <w:t>干制食用菌</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eastAsia="宋体" w:cs="宋体"/>
                <w:b/>
                <w:bCs/>
                <w:sz w:val="18"/>
                <w:szCs w:val="18"/>
              </w:rPr>
              <w:t>2</w:t>
            </w:r>
          </w:p>
        </w:tc>
        <w:tc>
          <w:tcPr>
            <w:tcW w:w="284"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eastAsia="宋体" w:cs="宋体"/>
                <w:b/>
                <w:bCs/>
                <w:sz w:val="18"/>
                <w:szCs w:val="18"/>
              </w:rPr>
              <w:t>2</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eastAsia="宋体" w:cs="宋体"/>
                <w:b/>
                <w:bCs/>
                <w:sz w:val="18"/>
                <w:szCs w:val="18"/>
              </w:rPr>
              <w:t>2</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eastAsia="宋体" w:cs="宋体"/>
                <w:b/>
                <w:bCs/>
                <w:sz w:val="18"/>
                <w:szCs w:val="18"/>
              </w:rPr>
              <w:t>2</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29"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r>
      <w:tr>
        <w:tblPrEx>
          <w:tblCellMar>
            <w:top w:w="0" w:type="dxa"/>
            <w:left w:w="108" w:type="dxa"/>
            <w:bottom w:w="0" w:type="dxa"/>
            <w:right w:w="108" w:type="dxa"/>
          </w:tblCellMar>
        </w:tblPrEx>
        <w:trPr>
          <w:trHeight w:val="1001" w:hRule="atLeast"/>
          <w:jc w:val="center"/>
        </w:trPr>
        <w:tc>
          <w:tcPr>
            <w:tcW w:w="221" w:type="pct"/>
            <w:vMerge w:val="continue"/>
            <w:tcBorders>
              <w:top w:val="nil"/>
              <w:left w:val="single" w:color="auto" w:sz="4" w:space="0"/>
              <w:bottom w:val="nil"/>
              <w:right w:val="single" w:color="auto" w:sz="4" w:space="0"/>
            </w:tcBorders>
            <w:noWrap w:val="0"/>
            <w:vAlign w:val="center"/>
          </w:tcPr>
          <w:p>
            <w:pPr>
              <w:pStyle w:val="5"/>
              <w:spacing w:after="0" w:line="200" w:lineRule="exact"/>
              <w:jc w:val="center"/>
              <w:rPr>
                <w:rFonts w:hint="eastAsia" w:ascii="宋体" w:hAnsi="宋体" w:cs="宋体"/>
                <w:sz w:val="18"/>
                <w:szCs w:val="18"/>
              </w:rPr>
            </w:pPr>
          </w:p>
        </w:tc>
        <w:tc>
          <w:tcPr>
            <w:tcW w:w="221" w:type="pct"/>
            <w:vMerge w:val="continue"/>
            <w:tcBorders>
              <w:top w:val="single" w:color="000000" w:sz="8" w:space="0"/>
              <w:left w:val="single" w:color="auto" w:sz="4"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sz w:val="18"/>
                <w:szCs w:val="18"/>
              </w:rPr>
            </w:pPr>
            <w:r>
              <w:rPr>
                <w:rFonts w:hint="eastAsia" w:ascii="宋体" w:hAnsi="宋体" w:eastAsia="宋体" w:cs="宋体"/>
                <w:sz w:val="18"/>
                <w:szCs w:val="18"/>
              </w:rPr>
              <w:t>餐饮食品</w:t>
            </w:r>
          </w:p>
        </w:tc>
        <w:tc>
          <w:tcPr>
            <w:tcW w:w="476"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left"/>
              <w:rPr>
                <w:rFonts w:hint="eastAsia" w:ascii="宋体" w:hAnsi="宋体" w:eastAsia="宋体" w:cs="宋体"/>
                <w:kern w:val="0"/>
                <w:sz w:val="18"/>
                <w:szCs w:val="18"/>
                <w:lang w:bidi="ar"/>
              </w:rPr>
            </w:pPr>
            <w:r>
              <w:rPr>
                <w:rFonts w:hint="eastAsia" w:ascii="宋体" w:hAnsi="宋体" w:eastAsia="宋体" w:cs="宋体"/>
                <w:kern w:val="0"/>
                <w:sz w:val="18"/>
                <w:szCs w:val="18"/>
                <w:shd w:val="clear" w:color="auto" w:fill="FFFFFF"/>
                <w:lang w:bidi="ar"/>
              </w:rPr>
              <w:t>餐饮食品 米面及其制品(自制)</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eastAsia="宋体" w:cs="宋体"/>
                <w:b/>
                <w:bCs/>
                <w:sz w:val="18"/>
                <w:szCs w:val="18"/>
              </w:rPr>
              <w:t>1</w:t>
            </w:r>
          </w:p>
        </w:tc>
        <w:tc>
          <w:tcPr>
            <w:tcW w:w="284"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eastAsia="宋体" w:cs="宋体"/>
                <w:b/>
                <w:bCs/>
                <w:sz w:val="18"/>
                <w:szCs w:val="18"/>
              </w:rPr>
              <w:t>1</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eastAsia="宋体" w:cs="宋体"/>
                <w:b/>
                <w:bCs/>
                <w:sz w:val="18"/>
                <w:szCs w:val="18"/>
              </w:rPr>
              <w:t>1</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eastAsia="宋体" w:cs="宋体"/>
                <w:b/>
                <w:bCs/>
                <w:sz w:val="18"/>
                <w:szCs w:val="18"/>
              </w:rPr>
              <w:t>1</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29"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r>
      <w:tr>
        <w:tblPrEx>
          <w:tblCellMar>
            <w:top w:w="0" w:type="dxa"/>
            <w:left w:w="108" w:type="dxa"/>
            <w:bottom w:w="0" w:type="dxa"/>
            <w:right w:w="108" w:type="dxa"/>
          </w:tblCellMar>
        </w:tblPrEx>
        <w:trPr>
          <w:trHeight w:val="382" w:hRule="atLeast"/>
          <w:jc w:val="center"/>
        </w:trPr>
        <w:tc>
          <w:tcPr>
            <w:tcW w:w="221" w:type="pct"/>
            <w:tcBorders>
              <w:top w:val="nil"/>
              <w:left w:val="single" w:color="auto" w:sz="4" w:space="0"/>
              <w:bottom w:val="nil"/>
              <w:right w:val="single" w:color="auto" w:sz="4" w:space="0"/>
            </w:tcBorders>
            <w:noWrap w:val="0"/>
            <w:vAlign w:val="center"/>
          </w:tcPr>
          <w:p>
            <w:pPr>
              <w:pStyle w:val="5"/>
              <w:spacing w:after="0" w:line="200" w:lineRule="exact"/>
              <w:jc w:val="center"/>
              <w:rPr>
                <w:rFonts w:hint="eastAsia" w:ascii="宋体" w:hAnsi="宋体" w:cs="宋体"/>
                <w:sz w:val="18"/>
                <w:szCs w:val="18"/>
              </w:rPr>
            </w:pPr>
          </w:p>
        </w:tc>
        <w:tc>
          <w:tcPr>
            <w:tcW w:w="221" w:type="pct"/>
            <w:vMerge w:val="continue"/>
            <w:tcBorders>
              <w:top w:val="single" w:color="000000" w:sz="8" w:space="0"/>
              <w:left w:val="single" w:color="auto" w:sz="4" w:space="0"/>
              <w:bottom w:val="nil"/>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817" w:type="pct"/>
            <w:gridSpan w:val="2"/>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eastAsia="宋体" w:cs="宋体"/>
                <w:b/>
                <w:bCs/>
                <w:sz w:val="18"/>
                <w:szCs w:val="18"/>
              </w:rPr>
              <w:t>4</w:t>
            </w:r>
          </w:p>
        </w:tc>
        <w:tc>
          <w:tcPr>
            <w:tcW w:w="284"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eastAsia="宋体" w:cs="宋体"/>
                <w:b/>
                <w:bCs/>
                <w:sz w:val="18"/>
                <w:szCs w:val="18"/>
              </w:rPr>
              <w:t>4</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eastAsia="宋体" w:cs="宋体"/>
                <w:b/>
                <w:bCs/>
                <w:sz w:val="18"/>
                <w:szCs w:val="18"/>
              </w:rPr>
              <w:t>4</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eastAsia="宋体" w:cs="宋体"/>
                <w:b/>
                <w:bCs/>
                <w:sz w:val="18"/>
                <w:szCs w:val="18"/>
              </w:rPr>
              <w:t>4</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29"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r>
      <w:tr>
        <w:tblPrEx>
          <w:tblCellMar>
            <w:top w:w="0" w:type="dxa"/>
            <w:left w:w="108" w:type="dxa"/>
            <w:bottom w:w="0" w:type="dxa"/>
            <w:right w:w="108" w:type="dxa"/>
          </w:tblCellMar>
        </w:tblPrEx>
        <w:trPr>
          <w:trHeight w:val="382" w:hRule="atLeast"/>
          <w:jc w:val="center"/>
        </w:trPr>
        <w:tc>
          <w:tcPr>
            <w:tcW w:w="221" w:type="pct"/>
            <w:vMerge w:val="restart"/>
            <w:tcBorders>
              <w:top w:val="nil"/>
              <w:left w:val="single" w:color="auto" w:sz="4" w:space="0"/>
              <w:bottom w:val="nil"/>
              <w:right w:val="single" w:color="auto" w:sz="4" w:space="0"/>
            </w:tcBorders>
            <w:noWrap w:val="0"/>
            <w:vAlign w:val="center"/>
          </w:tcPr>
          <w:p>
            <w:pPr>
              <w:widowControl/>
              <w:spacing w:line="200" w:lineRule="exact"/>
              <w:textAlignment w:val="center"/>
              <w:rPr>
                <w:rFonts w:hint="eastAsia"/>
                <w:sz w:val="18"/>
                <w:szCs w:val="18"/>
              </w:rPr>
            </w:pPr>
          </w:p>
          <w:p>
            <w:pPr>
              <w:pStyle w:val="5"/>
              <w:spacing w:after="0" w:line="200" w:lineRule="exact"/>
              <w:rPr>
                <w:rFonts w:hint="eastAsia"/>
                <w:sz w:val="18"/>
                <w:szCs w:val="18"/>
              </w:rPr>
            </w:pPr>
          </w:p>
          <w:p>
            <w:pPr>
              <w:spacing w:line="200" w:lineRule="exact"/>
              <w:rPr>
                <w:rFonts w:hint="eastAsia"/>
                <w:sz w:val="18"/>
                <w:szCs w:val="18"/>
              </w:rPr>
            </w:pPr>
          </w:p>
          <w:p>
            <w:pPr>
              <w:pStyle w:val="5"/>
              <w:spacing w:after="0" w:line="200" w:lineRule="exact"/>
              <w:rPr>
                <w:rFonts w:hint="eastAsia"/>
                <w:sz w:val="18"/>
                <w:szCs w:val="18"/>
              </w:rPr>
            </w:pPr>
          </w:p>
          <w:p>
            <w:pPr>
              <w:spacing w:line="200" w:lineRule="exact"/>
              <w:rPr>
                <w:rFonts w:hint="eastAsia"/>
                <w:sz w:val="18"/>
                <w:szCs w:val="18"/>
              </w:rPr>
            </w:pPr>
          </w:p>
          <w:p>
            <w:pPr>
              <w:pStyle w:val="5"/>
              <w:spacing w:after="0" w:line="200" w:lineRule="exact"/>
              <w:rPr>
                <w:rFonts w:hint="eastAsia"/>
                <w:sz w:val="18"/>
                <w:szCs w:val="18"/>
              </w:rPr>
            </w:pPr>
          </w:p>
          <w:p>
            <w:pPr>
              <w:spacing w:line="200" w:lineRule="exact"/>
              <w:rPr>
                <w:rFonts w:hint="eastAsia"/>
                <w:sz w:val="18"/>
                <w:szCs w:val="18"/>
              </w:rPr>
            </w:pPr>
          </w:p>
          <w:p>
            <w:pPr>
              <w:pStyle w:val="5"/>
              <w:spacing w:after="0" w:line="200" w:lineRule="exact"/>
              <w:rPr>
                <w:rFonts w:hint="eastAsia"/>
                <w:sz w:val="18"/>
                <w:szCs w:val="18"/>
              </w:rPr>
            </w:pPr>
          </w:p>
          <w:p>
            <w:pPr>
              <w:spacing w:line="200" w:lineRule="exact"/>
              <w:rPr>
                <w:rFonts w:hint="eastAsia"/>
                <w:sz w:val="18"/>
                <w:szCs w:val="18"/>
              </w:rPr>
            </w:pPr>
          </w:p>
          <w:p>
            <w:pPr>
              <w:pStyle w:val="5"/>
              <w:spacing w:after="0" w:line="200" w:lineRule="exact"/>
              <w:jc w:val="center"/>
              <w:rPr>
                <w:sz w:val="18"/>
                <w:szCs w:val="18"/>
              </w:rPr>
            </w:pPr>
            <w:r>
              <w:rPr>
                <w:rFonts w:hint="eastAsia"/>
                <w:sz w:val="18"/>
                <w:szCs w:val="18"/>
              </w:rPr>
              <w:t>3</w:t>
            </w:r>
          </w:p>
        </w:tc>
        <w:tc>
          <w:tcPr>
            <w:tcW w:w="221" w:type="pct"/>
            <w:vMerge w:val="restart"/>
            <w:tcBorders>
              <w:top w:val="nil"/>
              <w:left w:val="single" w:color="auto" w:sz="4" w:space="0"/>
              <w:bottom w:val="nil"/>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p>
            <w:pPr>
              <w:widowControl/>
              <w:spacing w:line="200" w:lineRule="exact"/>
              <w:textAlignment w:val="center"/>
              <w:rPr>
                <w:rFonts w:hint="eastAsia" w:ascii="宋体" w:hAnsi="宋体" w:cs="宋体"/>
                <w:kern w:val="0"/>
                <w:sz w:val="18"/>
                <w:szCs w:val="18"/>
                <w:lang w:bidi="ar"/>
              </w:rPr>
            </w:pPr>
          </w:p>
          <w:p>
            <w:pPr>
              <w:widowControl/>
              <w:spacing w:line="200" w:lineRule="exact"/>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校</w:t>
            </w:r>
          </w:p>
          <w:p>
            <w:pPr>
              <w:pStyle w:val="5"/>
              <w:spacing w:after="0" w:line="200" w:lineRule="exact"/>
              <w:rPr>
                <w:rFonts w:hint="eastAsia"/>
                <w:sz w:val="18"/>
                <w:szCs w:val="18"/>
              </w:rPr>
            </w:pPr>
          </w:p>
          <w:p>
            <w:pPr>
              <w:widowControl/>
              <w:spacing w:line="200" w:lineRule="exact"/>
              <w:jc w:val="center"/>
              <w:textAlignment w:val="center"/>
              <w:rPr>
                <w:rFonts w:ascii="宋体" w:hAnsi="宋体" w:eastAsia="宋体" w:cs="宋体"/>
                <w:kern w:val="0"/>
                <w:sz w:val="18"/>
                <w:szCs w:val="18"/>
                <w:lang w:bidi="ar"/>
              </w:rPr>
            </w:pPr>
            <w:r>
              <w:rPr>
                <w:rFonts w:hint="eastAsia" w:ascii="宋体" w:hAnsi="宋体" w:cs="宋体"/>
                <w:kern w:val="0"/>
                <w:sz w:val="18"/>
                <w:szCs w:val="18"/>
                <w:lang w:bidi="ar"/>
              </w:rPr>
              <w:t xml:space="preserve">  </w:t>
            </w:r>
          </w:p>
          <w:p>
            <w:pPr>
              <w:widowControl/>
              <w:spacing w:line="200" w:lineRule="exact"/>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园</w:t>
            </w:r>
          </w:p>
          <w:p>
            <w:pPr>
              <w:pStyle w:val="5"/>
              <w:spacing w:after="0" w:line="200" w:lineRule="exact"/>
              <w:rPr>
                <w:rFonts w:hint="eastAsia"/>
                <w:sz w:val="18"/>
                <w:szCs w:val="18"/>
              </w:rPr>
            </w:pPr>
          </w:p>
          <w:p>
            <w:pPr>
              <w:pStyle w:val="5"/>
              <w:spacing w:after="0" w:line="200" w:lineRule="exact"/>
              <w:rPr>
                <w:rFonts w:hint="eastAsia"/>
                <w:sz w:val="18"/>
                <w:szCs w:val="18"/>
              </w:rPr>
            </w:pPr>
          </w:p>
          <w:p>
            <w:pPr>
              <w:widowControl/>
              <w:spacing w:line="200" w:lineRule="exact"/>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周</w:t>
            </w:r>
          </w:p>
          <w:p>
            <w:pPr>
              <w:pStyle w:val="5"/>
              <w:spacing w:after="0" w:line="200" w:lineRule="exact"/>
              <w:rPr>
                <w:rFonts w:hint="eastAsia"/>
                <w:sz w:val="18"/>
                <w:szCs w:val="18"/>
              </w:rPr>
            </w:pPr>
          </w:p>
          <w:p>
            <w:pPr>
              <w:pStyle w:val="5"/>
              <w:spacing w:after="0" w:line="200" w:lineRule="exact"/>
              <w:rPr>
                <w:rFonts w:hint="eastAsia"/>
                <w:sz w:val="18"/>
                <w:szCs w:val="18"/>
              </w:rPr>
            </w:pPr>
          </w:p>
          <w:p>
            <w:pPr>
              <w:widowControl/>
              <w:spacing w:line="200" w:lineRule="exact"/>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边</w:t>
            </w:r>
          </w:p>
          <w:p>
            <w:pPr>
              <w:pStyle w:val="5"/>
              <w:spacing w:after="0" w:line="200" w:lineRule="exact"/>
              <w:rPr>
                <w:rFonts w:hint="eastAsia"/>
                <w:sz w:val="18"/>
                <w:szCs w:val="18"/>
              </w:rPr>
            </w:pPr>
          </w:p>
          <w:p>
            <w:pPr>
              <w:pStyle w:val="5"/>
              <w:spacing w:after="0" w:line="200" w:lineRule="exact"/>
              <w:rPr>
                <w:rFonts w:hint="eastAsia"/>
                <w:sz w:val="18"/>
                <w:szCs w:val="18"/>
              </w:rPr>
            </w:pPr>
          </w:p>
          <w:p>
            <w:pPr>
              <w:widowControl/>
              <w:spacing w:line="200" w:lineRule="exact"/>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食</w:t>
            </w:r>
          </w:p>
          <w:p>
            <w:pPr>
              <w:pStyle w:val="5"/>
              <w:spacing w:after="0" w:line="200" w:lineRule="exact"/>
              <w:rPr>
                <w:rFonts w:hint="eastAsia"/>
                <w:sz w:val="18"/>
                <w:szCs w:val="18"/>
              </w:rPr>
            </w:pPr>
          </w:p>
          <w:p>
            <w:pPr>
              <w:pStyle w:val="5"/>
              <w:spacing w:after="0" w:line="200" w:lineRule="exact"/>
              <w:rPr>
                <w:rFonts w:hint="eastAsia"/>
                <w:sz w:val="18"/>
                <w:szCs w:val="18"/>
              </w:rPr>
            </w:pPr>
          </w:p>
          <w:p>
            <w:pPr>
              <w:widowControl/>
              <w:spacing w:line="200" w:lineRule="exact"/>
              <w:jc w:val="center"/>
              <w:textAlignment w:val="center"/>
              <w:rPr>
                <w:rFonts w:hint="eastAsia" w:ascii="宋体" w:hAnsi="宋体" w:cs="宋体"/>
                <w:sz w:val="18"/>
                <w:szCs w:val="18"/>
              </w:rPr>
            </w:pPr>
            <w:r>
              <w:rPr>
                <w:rFonts w:hint="eastAsia" w:ascii="宋体" w:hAnsi="宋体" w:cs="宋体"/>
                <w:kern w:val="0"/>
                <w:sz w:val="18"/>
                <w:szCs w:val="18"/>
                <w:lang w:bidi="ar"/>
              </w:rPr>
              <w:t>品</w:t>
            </w:r>
          </w:p>
        </w:tc>
        <w:tc>
          <w:tcPr>
            <w:tcW w:w="341" w:type="pct"/>
            <w:vMerge w:val="restar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sz w:val="18"/>
                <w:szCs w:val="18"/>
              </w:rPr>
            </w:pPr>
            <w:r>
              <w:rPr>
                <w:rFonts w:hint="eastAsia" w:ascii="宋体" w:hAnsi="宋体" w:eastAsia="宋体" w:cs="宋体"/>
                <w:sz w:val="18"/>
                <w:szCs w:val="18"/>
              </w:rPr>
              <w:t>大米</w:t>
            </w:r>
          </w:p>
        </w:tc>
        <w:tc>
          <w:tcPr>
            <w:tcW w:w="476"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大米</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30</w:t>
            </w:r>
          </w:p>
        </w:tc>
        <w:tc>
          <w:tcPr>
            <w:tcW w:w="284"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33</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16</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16</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14</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17</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29"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r>
      <w:tr>
        <w:tblPrEx>
          <w:tblCellMar>
            <w:top w:w="0" w:type="dxa"/>
            <w:left w:w="108" w:type="dxa"/>
            <w:bottom w:w="0" w:type="dxa"/>
            <w:right w:w="108" w:type="dxa"/>
          </w:tblCellMar>
        </w:tblPrEx>
        <w:trPr>
          <w:trHeight w:val="642" w:hRule="atLeast"/>
          <w:jc w:val="center"/>
        </w:trPr>
        <w:tc>
          <w:tcPr>
            <w:tcW w:w="221" w:type="pct"/>
            <w:vMerge w:val="continue"/>
            <w:tcBorders>
              <w:top w:val="nil"/>
              <w:left w:val="single" w:color="auto" w:sz="4" w:space="0"/>
              <w:bottom w:val="nil"/>
              <w:right w:val="single" w:color="auto" w:sz="4" w:space="0"/>
            </w:tcBorders>
            <w:noWrap w:val="0"/>
            <w:vAlign w:val="center"/>
          </w:tcPr>
          <w:p>
            <w:pPr>
              <w:spacing w:line="200" w:lineRule="exact"/>
              <w:jc w:val="center"/>
              <w:rPr>
                <w:rFonts w:hint="eastAsia" w:ascii="宋体" w:hAnsi="宋体" w:cs="宋体"/>
                <w:sz w:val="18"/>
                <w:szCs w:val="18"/>
              </w:rPr>
            </w:pPr>
          </w:p>
        </w:tc>
        <w:tc>
          <w:tcPr>
            <w:tcW w:w="221" w:type="pct"/>
            <w:vMerge w:val="continue"/>
            <w:tcBorders>
              <w:top w:val="nil"/>
              <w:left w:val="single" w:color="auto" w:sz="4" w:space="0"/>
              <w:bottom w:val="nil"/>
              <w:right w:val="single" w:color="000000" w:sz="8" w:space="0"/>
            </w:tcBorders>
            <w:noWrap w:val="0"/>
            <w:vAlign w:val="center"/>
          </w:tcPr>
          <w:p>
            <w:pPr>
              <w:widowControl/>
              <w:spacing w:line="200" w:lineRule="exact"/>
              <w:jc w:val="center"/>
              <w:textAlignment w:val="center"/>
              <w:rPr>
                <w:rFonts w:hint="eastAsia" w:ascii="宋体" w:hAnsi="宋体" w:cs="宋体"/>
                <w:sz w:val="18"/>
                <w:szCs w:val="18"/>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rPr>
                <w:rFonts w:hint="eastAsia" w:ascii="宋体" w:hAnsi="宋体" w:eastAsia="宋体" w:cs="宋体"/>
                <w:sz w:val="18"/>
                <w:szCs w:val="18"/>
              </w:rPr>
            </w:pPr>
          </w:p>
        </w:tc>
        <w:tc>
          <w:tcPr>
            <w:tcW w:w="476"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谷物制品（米粉）</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7</w:t>
            </w:r>
          </w:p>
        </w:tc>
        <w:tc>
          <w:tcPr>
            <w:tcW w:w="284"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6</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3</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3</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3</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2</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29"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w:t>
            </w:r>
          </w:p>
        </w:tc>
        <w:tc>
          <w:tcPr>
            <w:tcW w:w="235"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w:t>
            </w:r>
          </w:p>
        </w:tc>
      </w:tr>
      <w:tr>
        <w:tblPrEx>
          <w:tblCellMar>
            <w:top w:w="0" w:type="dxa"/>
            <w:left w:w="108" w:type="dxa"/>
            <w:bottom w:w="0" w:type="dxa"/>
            <w:right w:w="108" w:type="dxa"/>
          </w:tblCellMar>
        </w:tblPrEx>
        <w:trPr>
          <w:trHeight w:val="953" w:hRule="atLeast"/>
          <w:jc w:val="center"/>
        </w:trPr>
        <w:tc>
          <w:tcPr>
            <w:tcW w:w="221" w:type="pct"/>
            <w:vMerge w:val="continue"/>
            <w:tcBorders>
              <w:top w:val="nil"/>
              <w:left w:val="single" w:color="auto" w:sz="4" w:space="0"/>
              <w:bottom w:val="nil"/>
              <w:right w:val="single" w:color="auto" w:sz="4" w:space="0"/>
            </w:tcBorders>
            <w:noWrap w:val="0"/>
            <w:vAlign w:val="center"/>
          </w:tcPr>
          <w:p>
            <w:pPr>
              <w:spacing w:line="200" w:lineRule="exact"/>
              <w:jc w:val="center"/>
              <w:rPr>
                <w:rFonts w:hint="eastAsia" w:ascii="宋体" w:hAnsi="宋体" w:cs="宋体"/>
                <w:sz w:val="18"/>
                <w:szCs w:val="18"/>
              </w:rPr>
            </w:pPr>
          </w:p>
        </w:tc>
        <w:tc>
          <w:tcPr>
            <w:tcW w:w="221" w:type="pct"/>
            <w:vMerge w:val="continue"/>
            <w:tcBorders>
              <w:top w:val="nil"/>
              <w:left w:val="single" w:color="auto" w:sz="4" w:space="0"/>
              <w:bottom w:val="nil"/>
              <w:right w:val="single" w:color="000000" w:sz="8" w:space="0"/>
            </w:tcBorders>
            <w:noWrap w:val="0"/>
            <w:vAlign w:val="center"/>
          </w:tcPr>
          <w:p>
            <w:pPr>
              <w:widowControl/>
              <w:spacing w:line="200" w:lineRule="exact"/>
              <w:jc w:val="center"/>
              <w:textAlignment w:val="center"/>
              <w:rPr>
                <w:rFonts w:hint="eastAsia" w:ascii="宋体" w:hAnsi="宋体" w:cs="宋体"/>
                <w:sz w:val="18"/>
                <w:szCs w:val="18"/>
              </w:rPr>
            </w:pPr>
          </w:p>
        </w:tc>
        <w:tc>
          <w:tcPr>
            <w:tcW w:w="341" w:type="pct"/>
            <w:vMerge w:val="restar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rPr>
                <w:rFonts w:hint="eastAsia" w:ascii="宋体" w:hAnsi="宋体" w:eastAsia="宋体" w:cs="宋体"/>
                <w:sz w:val="18"/>
                <w:szCs w:val="18"/>
              </w:rPr>
            </w:pPr>
            <w:r>
              <w:rPr>
                <w:rFonts w:hint="eastAsia" w:ascii="宋体" w:hAnsi="宋体" w:eastAsia="宋体" w:cs="宋体"/>
                <w:sz w:val="18"/>
                <w:szCs w:val="18"/>
              </w:rPr>
              <w:t>调味品</w:t>
            </w:r>
          </w:p>
        </w:tc>
        <w:tc>
          <w:tcPr>
            <w:tcW w:w="476"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sz w:val="18"/>
                <w:szCs w:val="18"/>
              </w:rPr>
            </w:pPr>
            <w:r>
              <w:rPr>
                <w:rFonts w:hint="eastAsia" w:ascii="宋体" w:hAnsi="宋体" w:eastAsia="宋体" w:cs="宋体"/>
                <w:sz w:val="18"/>
                <w:szCs w:val="18"/>
              </w:rPr>
              <w:t>食醋</w:t>
            </w:r>
          </w:p>
        </w:tc>
        <w:tc>
          <w:tcPr>
            <w:tcW w:w="277"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6</w:t>
            </w:r>
          </w:p>
        </w:tc>
        <w:tc>
          <w:tcPr>
            <w:tcW w:w="284" w:type="pct"/>
            <w:tcBorders>
              <w:top w:val="single" w:color="000000" w:sz="8" w:space="0"/>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7</w:t>
            </w:r>
          </w:p>
        </w:tc>
        <w:tc>
          <w:tcPr>
            <w:tcW w:w="277"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3</w:t>
            </w:r>
          </w:p>
        </w:tc>
        <w:tc>
          <w:tcPr>
            <w:tcW w:w="284"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4</w:t>
            </w:r>
          </w:p>
        </w:tc>
        <w:tc>
          <w:tcPr>
            <w:tcW w:w="277"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2</w:t>
            </w:r>
          </w:p>
        </w:tc>
        <w:tc>
          <w:tcPr>
            <w:tcW w:w="284"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2</w:t>
            </w:r>
          </w:p>
        </w:tc>
        <w:tc>
          <w:tcPr>
            <w:tcW w:w="277"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84"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29" w:type="pct"/>
            <w:tcBorders>
              <w:top w:val="single" w:color="000000" w:sz="8" w:space="0"/>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w:t>
            </w:r>
          </w:p>
        </w:tc>
        <w:tc>
          <w:tcPr>
            <w:tcW w:w="235" w:type="pct"/>
            <w:tcBorders>
              <w:top w:val="single" w:color="000000" w:sz="8" w:space="0"/>
              <w:left w:val="nil"/>
              <w:bottom w:val="single" w:color="000000" w:sz="8" w:space="0"/>
              <w:right w:val="single" w:color="000000" w:sz="4"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w:t>
            </w:r>
          </w:p>
        </w:tc>
      </w:tr>
      <w:tr>
        <w:tblPrEx>
          <w:tblCellMar>
            <w:top w:w="0" w:type="dxa"/>
            <w:left w:w="108" w:type="dxa"/>
            <w:bottom w:w="0" w:type="dxa"/>
            <w:right w:w="108" w:type="dxa"/>
          </w:tblCellMar>
        </w:tblPrEx>
        <w:trPr>
          <w:trHeight w:val="642" w:hRule="atLeast"/>
          <w:jc w:val="center"/>
        </w:trPr>
        <w:tc>
          <w:tcPr>
            <w:tcW w:w="221" w:type="pct"/>
            <w:vMerge w:val="continue"/>
            <w:tcBorders>
              <w:top w:val="nil"/>
              <w:left w:val="single" w:color="auto" w:sz="4" w:space="0"/>
              <w:bottom w:val="nil"/>
              <w:right w:val="single" w:color="auto" w:sz="4" w:space="0"/>
            </w:tcBorders>
            <w:noWrap w:val="0"/>
            <w:vAlign w:val="center"/>
          </w:tcPr>
          <w:p>
            <w:pPr>
              <w:spacing w:line="200" w:lineRule="exact"/>
              <w:jc w:val="center"/>
              <w:rPr>
                <w:rFonts w:hint="eastAsia" w:ascii="宋体" w:hAnsi="宋体" w:cs="宋体"/>
                <w:sz w:val="18"/>
                <w:szCs w:val="18"/>
              </w:rPr>
            </w:pPr>
          </w:p>
        </w:tc>
        <w:tc>
          <w:tcPr>
            <w:tcW w:w="221" w:type="pct"/>
            <w:vMerge w:val="continue"/>
            <w:tcBorders>
              <w:top w:val="nil"/>
              <w:left w:val="single" w:color="auto" w:sz="4" w:space="0"/>
              <w:bottom w:val="nil"/>
              <w:right w:val="single" w:color="000000" w:sz="8" w:space="0"/>
            </w:tcBorders>
            <w:noWrap w:val="0"/>
            <w:vAlign w:val="center"/>
          </w:tcPr>
          <w:p>
            <w:pPr>
              <w:widowControl/>
              <w:spacing w:line="200" w:lineRule="exact"/>
              <w:jc w:val="center"/>
              <w:textAlignment w:val="center"/>
              <w:rPr>
                <w:rFonts w:hint="eastAsia" w:ascii="宋体" w:hAnsi="宋体" w:cs="宋体"/>
                <w:sz w:val="18"/>
                <w:szCs w:val="18"/>
              </w:rPr>
            </w:pPr>
          </w:p>
        </w:tc>
        <w:tc>
          <w:tcPr>
            <w:tcW w:w="341" w:type="pct"/>
            <w:vMerge w:val="continue"/>
            <w:tcBorders>
              <w:top w:val="nil"/>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sz w:val="18"/>
                <w:szCs w:val="18"/>
              </w:rPr>
            </w:pPr>
          </w:p>
        </w:tc>
        <w:tc>
          <w:tcPr>
            <w:tcW w:w="476" w:type="pct"/>
            <w:tcBorders>
              <w:top w:val="nil"/>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sz w:val="18"/>
                <w:szCs w:val="18"/>
              </w:rPr>
            </w:pPr>
            <w:r>
              <w:rPr>
                <w:rFonts w:hint="eastAsia" w:ascii="宋体" w:hAnsi="宋体" w:eastAsia="宋体" w:cs="宋体"/>
                <w:sz w:val="18"/>
                <w:szCs w:val="18"/>
              </w:rPr>
              <w:t>酱油</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5</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7</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5</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0</w:t>
            </w:r>
          </w:p>
        </w:tc>
        <w:tc>
          <w:tcPr>
            <w:tcW w:w="235" w:type="pct"/>
            <w:tcBorders>
              <w:top w:val="nil"/>
              <w:left w:val="nil"/>
              <w:bottom w:val="single" w:color="000000" w:sz="8" w:space="0"/>
              <w:right w:val="single" w:color="000000" w:sz="4"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w:t>
            </w:r>
          </w:p>
        </w:tc>
      </w:tr>
      <w:tr>
        <w:tblPrEx>
          <w:tblCellMar>
            <w:top w:w="0" w:type="dxa"/>
            <w:left w:w="108" w:type="dxa"/>
            <w:bottom w:w="0" w:type="dxa"/>
            <w:right w:w="108" w:type="dxa"/>
          </w:tblCellMar>
        </w:tblPrEx>
        <w:trPr>
          <w:trHeight w:val="642" w:hRule="atLeast"/>
          <w:jc w:val="center"/>
        </w:trPr>
        <w:tc>
          <w:tcPr>
            <w:tcW w:w="221" w:type="pct"/>
            <w:vMerge w:val="continue"/>
            <w:tcBorders>
              <w:top w:val="nil"/>
              <w:left w:val="single" w:color="auto" w:sz="4" w:space="0"/>
              <w:bottom w:val="nil"/>
              <w:right w:val="single" w:color="auto" w:sz="4" w:space="0"/>
            </w:tcBorders>
            <w:noWrap w:val="0"/>
            <w:vAlign w:val="center"/>
          </w:tcPr>
          <w:p>
            <w:pPr>
              <w:spacing w:line="200" w:lineRule="exact"/>
              <w:jc w:val="center"/>
              <w:rPr>
                <w:rFonts w:hint="eastAsia" w:ascii="宋体" w:hAnsi="宋体" w:cs="宋体"/>
                <w:sz w:val="18"/>
                <w:szCs w:val="18"/>
              </w:rPr>
            </w:pPr>
          </w:p>
        </w:tc>
        <w:tc>
          <w:tcPr>
            <w:tcW w:w="221" w:type="pct"/>
            <w:vMerge w:val="continue"/>
            <w:tcBorders>
              <w:top w:val="nil"/>
              <w:left w:val="single" w:color="auto" w:sz="4" w:space="0"/>
              <w:bottom w:val="nil"/>
              <w:right w:val="single" w:color="000000" w:sz="8" w:space="0"/>
            </w:tcBorders>
            <w:noWrap w:val="0"/>
            <w:vAlign w:val="center"/>
          </w:tcPr>
          <w:p>
            <w:pPr>
              <w:widowControl/>
              <w:spacing w:line="200" w:lineRule="exact"/>
              <w:jc w:val="center"/>
              <w:textAlignment w:val="center"/>
              <w:rPr>
                <w:rFonts w:hint="eastAsia" w:ascii="宋体" w:hAnsi="宋体" w:cs="宋体"/>
                <w:sz w:val="18"/>
                <w:szCs w:val="18"/>
              </w:rPr>
            </w:pPr>
          </w:p>
        </w:tc>
        <w:tc>
          <w:tcPr>
            <w:tcW w:w="341" w:type="pct"/>
            <w:vMerge w:val="continue"/>
            <w:tcBorders>
              <w:top w:val="nil"/>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sz w:val="18"/>
                <w:szCs w:val="18"/>
              </w:rPr>
            </w:pPr>
          </w:p>
        </w:tc>
        <w:tc>
          <w:tcPr>
            <w:tcW w:w="476" w:type="pct"/>
            <w:tcBorders>
              <w:top w:val="nil"/>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sz w:val="18"/>
                <w:szCs w:val="18"/>
              </w:rPr>
            </w:pPr>
            <w:r>
              <w:rPr>
                <w:rFonts w:hint="eastAsia" w:ascii="宋体" w:hAnsi="宋体" w:eastAsia="宋体" w:cs="宋体"/>
                <w:sz w:val="18"/>
                <w:szCs w:val="18"/>
              </w:rPr>
              <w:t>调味料酒</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5</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11</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6</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3</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w:t>
            </w:r>
          </w:p>
        </w:tc>
        <w:tc>
          <w:tcPr>
            <w:tcW w:w="235" w:type="pct"/>
            <w:tcBorders>
              <w:top w:val="nil"/>
              <w:left w:val="nil"/>
              <w:bottom w:val="single" w:color="000000" w:sz="8" w:space="0"/>
              <w:right w:val="single" w:color="000000" w:sz="4"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2</w:t>
            </w:r>
          </w:p>
        </w:tc>
      </w:tr>
      <w:tr>
        <w:tblPrEx>
          <w:tblCellMar>
            <w:top w:w="0" w:type="dxa"/>
            <w:left w:w="108" w:type="dxa"/>
            <w:bottom w:w="0" w:type="dxa"/>
            <w:right w:w="108" w:type="dxa"/>
          </w:tblCellMar>
        </w:tblPrEx>
        <w:trPr>
          <w:trHeight w:val="382" w:hRule="atLeast"/>
          <w:jc w:val="center"/>
        </w:trPr>
        <w:tc>
          <w:tcPr>
            <w:tcW w:w="221" w:type="pct"/>
            <w:vMerge w:val="continue"/>
            <w:tcBorders>
              <w:top w:val="nil"/>
              <w:left w:val="single" w:color="auto" w:sz="4" w:space="0"/>
              <w:bottom w:val="nil"/>
              <w:right w:val="single" w:color="auto" w:sz="4" w:space="0"/>
            </w:tcBorders>
            <w:noWrap w:val="0"/>
            <w:vAlign w:val="center"/>
          </w:tcPr>
          <w:p>
            <w:pPr>
              <w:spacing w:line="200" w:lineRule="exact"/>
              <w:jc w:val="center"/>
              <w:rPr>
                <w:rFonts w:hint="eastAsia" w:ascii="宋体" w:hAnsi="宋体" w:cs="宋体"/>
                <w:sz w:val="18"/>
                <w:szCs w:val="18"/>
              </w:rPr>
            </w:pPr>
          </w:p>
        </w:tc>
        <w:tc>
          <w:tcPr>
            <w:tcW w:w="221" w:type="pct"/>
            <w:vMerge w:val="continue"/>
            <w:tcBorders>
              <w:top w:val="nil"/>
              <w:left w:val="single" w:color="auto" w:sz="4" w:space="0"/>
              <w:bottom w:val="nil"/>
              <w:right w:val="single" w:color="000000" w:sz="8" w:space="0"/>
            </w:tcBorders>
            <w:noWrap w:val="0"/>
            <w:vAlign w:val="center"/>
          </w:tcPr>
          <w:p>
            <w:pPr>
              <w:widowControl/>
              <w:spacing w:line="200" w:lineRule="exact"/>
              <w:jc w:val="center"/>
              <w:textAlignment w:val="center"/>
              <w:rPr>
                <w:rFonts w:hint="eastAsia" w:ascii="宋体" w:hAnsi="宋体" w:cs="宋体"/>
                <w:sz w:val="18"/>
                <w:szCs w:val="18"/>
              </w:rPr>
            </w:pPr>
          </w:p>
        </w:tc>
        <w:tc>
          <w:tcPr>
            <w:tcW w:w="341" w:type="pct"/>
            <w:vMerge w:val="restart"/>
            <w:tcBorders>
              <w:top w:val="nil"/>
              <w:left w:val="single" w:color="000000" w:sz="8" w:space="0"/>
              <w:bottom w:val="single" w:color="000000" w:sz="8" w:space="0"/>
              <w:right w:val="single" w:color="000000" w:sz="8" w:space="0"/>
            </w:tcBorders>
            <w:noWrap w:val="0"/>
            <w:vAlign w:val="center"/>
          </w:tcPr>
          <w:p>
            <w:pPr>
              <w:widowControl/>
              <w:spacing w:line="200" w:lineRule="exact"/>
              <w:jc w:val="center"/>
              <w:rPr>
                <w:rFonts w:hint="eastAsia" w:ascii="宋体" w:hAnsi="宋体" w:eastAsia="宋体" w:cs="宋体"/>
                <w:sz w:val="18"/>
                <w:szCs w:val="18"/>
              </w:rPr>
            </w:pPr>
            <w:r>
              <w:rPr>
                <w:rFonts w:hint="eastAsia" w:ascii="宋体" w:hAnsi="宋体" w:eastAsia="宋体" w:cs="宋体"/>
                <w:sz w:val="18"/>
                <w:szCs w:val="18"/>
              </w:rPr>
              <w:t>饮料</w:t>
            </w:r>
          </w:p>
        </w:tc>
        <w:tc>
          <w:tcPr>
            <w:tcW w:w="476" w:type="pct"/>
            <w:tcBorders>
              <w:top w:val="nil"/>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sz w:val="18"/>
                <w:szCs w:val="18"/>
              </w:rPr>
            </w:pPr>
            <w:r>
              <w:rPr>
                <w:rFonts w:hint="eastAsia" w:ascii="宋体" w:hAnsi="宋体" w:eastAsia="宋体" w:cs="宋体"/>
                <w:sz w:val="18"/>
                <w:szCs w:val="18"/>
              </w:rPr>
              <w:t>固体饮料</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4</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w:t>
            </w:r>
          </w:p>
        </w:tc>
        <w:tc>
          <w:tcPr>
            <w:tcW w:w="235" w:type="pct"/>
            <w:tcBorders>
              <w:top w:val="nil"/>
              <w:left w:val="nil"/>
              <w:bottom w:val="single" w:color="000000" w:sz="8" w:space="0"/>
              <w:right w:val="single" w:color="000000" w:sz="4"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0</w:t>
            </w:r>
          </w:p>
        </w:tc>
      </w:tr>
      <w:tr>
        <w:tblPrEx>
          <w:tblCellMar>
            <w:top w:w="0" w:type="dxa"/>
            <w:left w:w="108" w:type="dxa"/>
            <w:bottom w:w="0" w:type="dxa"/>
            <w:right w:w="108" w:type="dxa"/>
          </w:tblCellMar>
        </w:tblPrEx>
        <w:trPr>
          <w:trHeight w:val="382" w:hRule="atLeast"/>
          <w:jc w:val="center"/>
        </w:trPr>
        <w:tc>
          <w:tcPr>
            <w:tcW w:w="221" w:type="pct"/>
            <w:vMerge w:val="continue"/>
            <w:tcBorders>
              <w:top w:val="nil"/>
              <w:left w:val="single" w:color="auto" w:sz="4" w:space="0"/>
              <w:bottom w:val="nil"/>
              <w:right w:val="single" w:color="auto" w:sz="4" w:space="0"/>
            </w:tcBorders>
            <w:noWrap w:val="0"/>
            <w:vAlign w:val="center"/>
          </w:tcPr>
          <w:p>
            <w:pPr>
              <w:spacing w:line="200" w:lineRule="exact"/>
              <w:jc w:val="center"/>
              <w:rPr>
                <w:rFonts w:hint="eastAsia" w:ascii="宋体" w:hAnsi="宋体" w:cs="宋体"/>
                <w:sz w:val="18"/>
                <w:szCs w:val="18"/>
              </w:rPr>
            </w:pPr>
          </w:p>
        </w:tc>
        <w:tc>
          <w:tcPr>
            <w:tcW w:w="221" w:type="pct"/>
            <w:vMerge w:val="continue"/>
            <w:tcBorders>
              <w:top w:val="nil"/>
              <w:left w:val="single" w:color="auto" w:sz="4" w:space="0"/>
              <w:bottom w:val="nil"/>
              <w:right w:val="single" w:color="000000" w:sz="8" w:space="0"/>
            </w:tcBorders>
            <w:noWrap w:val="0"/>
            <w:vAlign w:val="center"/>
          </w:tcPr>
          <w:p>
            <w:pPr>
              <w:spacing w:line="200" w:lineRule="exact"/>
              <w:jc w:val="center"/>
              <w:rPr>
                <w:rFonts w:hint="eastAsia" w:ascii="宋体" w:hAnsi="宋体" w:cs="宋体"/>
                <w:sz w:val="18"/>
                <w:szCs w:val="18"/>
              </w:rPr>
            </w:pPr>
          </w:p>
        </w:tc>
        <w:tc>
          <w:tcPr>
            <w:tcW w:w="341" w:type="pct"/>
            <w:vMerge w:val="continue"/>
            <w:tcBorders>
              <w:top w:val="nil"/>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sz w:val="18"/>
                <w:szCs w:val="18"/>
              </w:rPr>
            </w:pPr>
          </w:p>
        </w:tc>
        <w:tc>
          <w:tcPr>
            <w:tcW w:w="476" w:type="pct"/>
            <w:tcBorders>
              <w:top w:val="nil"/>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sz w:val="18"/>
                <w:szCs w:val="18"/>
              </w:rPr>
            </w:pPr>
            <w:r>
              <w:rPr>
                <w:rFonts w:hint="eastAsia" w:ascii="宋体" w:hAnsi="宋体" w:eastAsia="宋体" w:cs="宋体"/>
                <w:sz w:val="18"/>
                <w:szCs w:val="18"/>
              </w:rPr>
              <w:t>其他饮料</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5</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2</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0</w:t>
            </w:r>
          </w:p>
        </w:tc>
        <w:tc>
          <w:tcPr>
            <w:tcW w:w="235" w:type="pct"/>
            <w:tcBorders>
              <w:top w:val="nil"/>
              <w:left w:val="nil"/>
              <w:bottom w:val="single" w:color="000000" w:sz="8" w:space="0"/>
              <w:right w:val="single" w:color="000000" w:sz="4"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0</w:t>
            </w:r>
          </w:p>
        </w:tc>
      </w:tr>
      <w:tr>
        <w:tblPrEx>
          <w:tblCellMar>
            <w:top w:w="0" w:type="dxa"/>
            <w:left w:w="108" w:type="dxa"/>
            <w:bottom w:w="0" w:type="dxa"/>
            <w:right w:w="108" w:type="dxa"/>
          </w:tblCellMar>
        </w:tblPrEx>
        <w:trPr>
          <w:trHeight w:val="382" w:hRule="atLeast"/>
          <w:jc w:val="center"/>
        </w:trPr>
        <w:tc>
          <w:tcPr>
            <w:tcW w:w="221" w:type="pct"/>
            <w:tcBorders>
              <w:top w:val="nil"/>
              <w:left w:val="single" w:color="auto" w:sz="4" w:space="0"/>
              <w:bottom w:val="nil"/>
              <w:right w:val="single" w:color="auto" w:sz="4" w:space="0"/>
            </w:tcBorders>
            <w:noWrap w:val="0"/>
            <w:vAlign w:val="center"/>
          </w:tcPr>
          <w:p>
            <w:pPr>
              <w:spacing w:line="200" w:lineRule="exact"/>
              <w:jc w:val="center"/>
              <w:rPr>
                <w:rFonts w:hint="eastAsia" w:ascii="宋体" w:hAnsi="宋体" w:cs="宋体"/>
                <w:sz w:val="18"/>
                <w:szCs w:val="18"/>
              </w:rPr>
            </w:pPr>
          </w:p>
        </w:tc>
        <w:tc>
          <w:tcPr>
            <w:tcW w:w="221" w:type="pct"/>
            <w:vMerge w:val="continue"/>
            <w:tcBorders>
              <w:top w:val="nil"/>
              <w:left w:val="single" w:color="auto" w:sz="4" w:space="0"/>
              <w:bottom w:val="nil"/>
              <w:right w:val="single" w:color="000000" w:sz="8" w:space="0"/>
            </w:tcBorders>
            <w:noWrap w:val="0"/>
            <w:vAlign w:val="center"/>
          </w:tcPr>
          <w:p>
            <w:pPr>
              <w:spacing w:line="200" w:lineRule="exact"/>
              <w:jc w:val="center"/>
              <w:rPr>
                <w:rFonts w:hint="eastAsia" w:ascii="宋体" w:hAnsi="宋体" w:cs="宋体"/>
                <w:sz w:val="18"/>
                <w:szCs w:val="18"/>
              </w:rPr>
            </w:pPr>
          </w:p>
        </w:tc>
        <w:tc>
          <w:tcPr>
            <w:tcW w:w="341" w:type="pct"/>
            <w:tcBorders>
              <w:top w:val="nil"/>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sz w:val="18"/>
                <w:szCs w:val="18"/>
              </w:rPr>
            </w:pPr>
            <w:r>
              <w:rPr>
                <w:rFonts w:hint="eastAsia" w:ascii="宋体" w:hAnsi="宋体" w:eastAsia="宋体" w:cs="宋体"/>
                <w:sz w:val="18"/>
                <w:szCs w:val="18"/>
              </w:rPr>
              <w:t>膨化食品</w:t>
            </w:r>
          </w:p>
        </w:tc>
        <w:tc>
          <w:tcPr>
            <w:tcW w:w="476" w:type="pct"/>
            <w:tcBorders>
              <w:top w:val="nil"/>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eastAsia="宋体" w:cs="宋体"/>
                <w:sz w:val="18"/>
                <w:szCs w:val="18"/>
              </w:rPr>
              <w:t>含油型膨化食品和非含油型膨化食品</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9</w:t>
            </w:r>
          </w:p>
        </w:tc>
        <w:tc>
          <w:tcPr>
            <w:tcW w:w="284" w:type="pct"/>
            <w:tcBorders>
              <w:top w:val="nil"/>
              <w:left w:val="nil"/>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4</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3</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0</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5</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4</w:t>
            </w:r>
          </w:p>
        </w:tc>
        <w:tc>
          <w:tcPr>
            <w:tcW w:w="277"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84"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29" w:type="pct"/>
            <w:tcBorders>
              <w:top w:val="nil"/>
              <w:left w:val="nil"/>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w:t>
            </w:r>
          </w:p>
        </w:tc>
        <w:tc>
          <w:tcPr>
            <w:tcW w:w="235" w:type="pct"/>
            <w:tcBorders>
              <w:top w:val="nil"/>
              <w:left w:val="nil"/>
              <w:bottom w:val="single" w:color="000000" w:sz="8" w:space="0"/>
              <w:right w:val="single" w:color="000000" w:sz="4"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0</w:t>
            </w:r>
          </w:p>
        </w:tc>
      </w:tr>
      <w:tr>
        <w:tblPrEx>
          <w:tblCellMar>
            <w:top w:w="0" w:type="dxa"/>
            <w:left w:w="108" w:type="dxa"/>
            <w:bottom w:w="0" w:type="dxa"/>
            <w:right w:w="108" w:type="dxa"/>
          </w:tblCellMar>
        </w:tblPrEx>
        <w:trPr>
          <w:trHeight w:val="382" w:hRule="atLeast"/>
          <w:jc w:val="center"/>
        </w:trPr>
        <w:tc>
          <w:tcPr>
            <w:tcW w:w="221" w:type="pct"/>
            <w:tcBorders>
              <w:top w:val="nil"/>
              <w:left w:val="single" w:color="auto" w:sz="4" w:space="0"/>
              <w:bottom w:val="nil"/>
              <w:right w:val="single" w:color="auto" w:sz="4" w:space="0"/>
            </w:tcBorders>
            <w:noWrap w:val="0"/>
            <w:vAlign w:val="center"/>
          </w:tcPr>
          <w:p>
            <w:pPr>
              <w:spacing w:line="200" w:lineRule="exact"/>
              <w:jc w:val="center"/>
              <w:rPr>
                <w:rFonts w:hint="eastAsia" w:ascii="宋体" w:hAnsi="宋体" w:cs="宋体"/>
                <w:sz w:val="18"/>
                <w:szCs w:val="18"/>
              </w:rPr>
            </w:pPr>
          </w:p>
        </w:tc>
        <w:tc>
          <w:tcPr>
            <w:tcW w:w="221" w:type="pct"/>
            <w:vMerge w:val="continue"/>
            <w:tcBorders>
              <w:top w:val="nil"/>
              <w:left w:val="single" w:color="auto" w:sz="4" w:space="0"/>
              <w:bottom w:val="nil"/>
              <w:right w:val="single" w:color="000000" w:sz="8" w:space="0"/>
            </w:tcBorders>
            <w:noWrap w:val="0"/>
            <w:vAlign w:val="center"/>
          </w:tcPr>
          <w:p>
            <w:pPr>
              <w:spacing w:line="200" w:lineRule="exact"/>
              <w:jc w:val="center"/>
              <w:rPr>
                <w:rFonts w:hint="eastAsia" w:ascii="宋体" w:hAnsi="宋体" w:cs="宋体"/>
                <w:sz w:val="18"/>
                <w:szCs w:val="18"/>
              </w:rPr>
            </w:pPr>
          </w:p>
        </w:tc>
        <w:tc>
          <w:tcPr>
            <w:tcW w:w="341"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rPr>
                <w:rFonts w:hint="eastAsia" w:ascii="宋体" w:hAnsi="宋体" w:eastAsia="宋体" w:cs="宋体"/>
                <w:sz w:val="18"/>
                <w:szCs w:val="18"/>
              </w:rPr>
            </w:pPr>
            <w:r>
              <w:rPr>
                <w:rFonts w:hint="eastAsia" w:ascii="宋体" w:hAnsi="宋体" w:eastAsia="宋体" w:cs="宋体"/>
                <w:sz w:val="18"/>
                <w:szCs w:val="18"/>
              </w:rPr>
              <w:t>淀粉及淀粉制品</w:t>
            </w:r>
          </w:p>
        </w:tc>
        <w:tc>
          <w:tcPr>
            <w:tcW w:w="476"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eastAsia="宋体" w:cs="宋体"/>
                <w:kern w:val="0"/>
                <w:sz w:val="18"/>
                <w:szCs w:val="18"/>
                <w:lang w:bidi="ar"/>
              </w:rPr>
              <w:t>淀粉制品</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8</w:t>
            </w:r>
          </w:p>
        </w:tc>
        <w:tc>
          <w:tcPr>
            <w:tcW w:w="284"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13</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5</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9</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2</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3</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29"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w:t>
            </w:r>
          </w:p>
        </w:tc>
        <w:tc>
          <w:tcPr>
            <w:tcW w:w="235"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w:t>
            </w:r>
          </w:p>
        </w:tc>
      </w:tr>
      <w:tr>
        <w:tblPrEx>
          <w:tblCellMar>
            <w:top w:w="0" w:type="dxa"/>
            <w:left w:w="108" w:type="dxa"/>
            <w:bottom w:w="0" w:type="dxa"/>
            <w:right w:w="108" w:type="dxa"/>
          </w:tblCellMar>
        </w:tblPrEx>
        <w:trPr>
          <w:trHeight w:val="382" w:hRule="atLeast"/>
          <w:jc w:val="center"/>
        </w:trPr>
        <w:tc>
          <w:tcPr>
            <w:tcW w:w="221" w:type="pct"/>
            <w:tcBorders>
              <w:top w:val="nil"/>
              <w:left w:val="single" w:color="auto" w:sz="4" w:space="0"/>
              <w:bottom w:val="single" w:color="auto" w:sz="4" w:space="0"/>
              <w:right w:val="single" w:color="auto" w:sz="4" w:space="0"/>
            </w:tcBorders>
            <w:noWrap w:val="0"/>
            <w:vAlign w:val="center"/>
          </w:tcPr>
          <w:p>
            <w:pPr>
              <w:spacing w:line="200" w:lineRule="exact"/>
              <w:jc w:val="center"/>
              <w:rPr>
                <w:rFonts w:hint="eastAsia" w:ascii="宋体" w:hAnsi="宋体" w:cs="宋体"/>
                <w:sz w:val="18"/>
                <w:szCs w:val="18"/>
              </w:rPr>
            </w:pPr>
          </w:p>
        </w:tc>
        <w:tc>
          <w:tcPr>
            <w:tcW w:w="221" w:type="pct"/>
            <w:vMerge w:val="continue"/>
            <w:tcBorders>
              <w:top w:val="nil"/>
              <w:left w:val="single" w:color="auto" w:sz="4" w:space="0"/>
              <w:bottom w:val="single" w:color="auto" w:sz="4" w:space="0"/>
              <w:right w:val="single" w:color="000000" w:sz="8" w:space="0"/>
            </w:tcBorders>
            <w:noWrap w:val="0"/>
            <w:vAlign w:val="center"/>
          </w:tcPr>
          <w:p>
            <w:pPr>
              <w:spacing w:line="200" w:lineRule="exact"/>
              <w:jc w:val="center"/>
              <w:rPr>
                <w:rFonts w:hint="eastAsia" w:ascii="宋体" w:hAnsi="宋体" w:cs="宋体"/>
                <w:sz w:val="18"/>
                <w:szCs w:val="18"/>
              </w:rPr>
            </w:pPr>
          </w:p>
        </w:tc>
        <w:tc>
          <w:tcPr>
            <w:tcW w:w="341" w:type="pct"/>
            <w:vMerge w:val="restar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rPr>
                <w:rFonts w:hint="eastAsia" w:ascii="宋体" w:hAnsi="宋体" w:eastAsia="宋体" w:cs="宋体"/>
                <w:sz w:val="18"/>
                <w:szCs w:val="18"/>
              </w:rPr>
            </w:pPr>
            <w:r>
              <w:rPr>
                <w:rFonts w:hint="eastAsia" w:ascii="宋体" w:hAnsi="宋体" w:eastAsia="宋体" w:cs="宋体"/>
                <w:sz w:val="18"/>
                <w:szCs w:val="18"/>
              </w:rPr>
              <w:t>餐饮食品</w:t>
            </w:r>
          </w:p>
        </w:tc>
        <w:tc>
          <w:tcPr>
            <w:tcW w:w="476"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eastAsia="宋体" w:cs="宋体"/>
                <w:kern w:val="0"/>
                <w:sz w:val="18"/>
                <w:szCs w:val="18"/>
                <w:lang w:bidi="ar"/>
              </w:rPr>
              <w:t>馒头</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27</w:t>
            </w:r>
          </w:p>
        </w:tc>
        <w:tc>
          <w:tcPr>
            <w:tcW w:w="284"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24</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14</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9</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12</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14</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29"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w:t>
            </w:r>
          </w:p>
        </w:tc>
        <w:tc>
          <w:tcPr>
            <w:tcW w:w="235"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w:t>
            </w:r>
          </w:p>
        </w:tc>
      </w:tr>
      <w:tr>
        <w:tblPrEx>
          <w:tblCellMar>
            <w:top w:w="0" w:type="dxa"/>
            <w:left w:w="108" w:type="dxa"/>
            <w:bottom w:w="0" w:type="dxa"/>
            <w:right w:w="108" w:type="dxa"/>
          </w:tblCellMar>
        </w:tblPrEx>
        <w:trPr>
          <w:trHeight w:val="382" w:hRule="atLeast"/>
          <w:jc w:val="center"/>
        </w:trPr>
        <w:tc>
          <w:tcPr>
            <w:tcW w:w="221" w:type="pct"/>
            <w:tcBorders>
              <w:top w:val="single" w:color="auto" w:sz="4" w:space="0"/>
              <w:left w:val="single" w:color="auto" w:sz="4" w:space="0"/>
              <w:bottom w:val="nil"/>
              <w:right w:val="single" w:color="auto" w:sz="4" w:space="0"/>
            </w:tcBorders>
            <w:noWrap w:val="0"/>
            <w:vAlign w:val="center"/>
          </w:tcPr>
          <w:p>
            <w:pPr>
              <w:spacing w:line="200" w:lineRule="exact"/>
              <w:jc w:val="center"/>
              <w:rPr>
                <w:rFonts w:hint="eastAsia" w:ascii="宋体" w:hAnsi="宋体" w:cs="宋体"/>
                <w:sz w:val="18"/>
                <w:szCs w:val="18"/>
              </w:rPr>
            </w:pPr>
          </w:p>
        </w:tc>
        <w:tc>
          <w:tcPr>
            <w:tcW w:w="221" w:type="pct"/>
            <w:vMerge w:val="continue"/>
            <w:tcBorders>
              <w:top w:val="single" w:color="auto" w:sz="4" w:space="0"/>
              <w:left w:val="single" w:color="auto" w:sz="4" w:space="0"/>
              <w:bottom w:val="single" w:color="000000" w:sz="8" w:space="0"/>
              <w:right w:val="single" w:color="000000" w:sz="8" w:space="0"/>
            </w:tcBorders>
            <w:noWrap w:val="0"/>
            <w:vAlign w:val="center"/>
          </w:tcPr>
          <w:p>
            <w:pPr>
              <w:spacing w:line="200" w:lineRule="exact"/>
              <w:jc w:val="center"/>
              <w:rPr>
                <w:rFonts w:hint="eastAsia" w:ascii="宋体" w:hAnsi="宋体" w:cs="宋体"/>
                <w:sz w:val="18"/>
                <w:szCs w:val="18"/>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rPr>
                <w:rFonts w:hint="eastAsia" w:ascii="宋体" w:hAnsi="宋体" w:eastAsia="宋体" w:cs="宋体"/>
                <w:sz w:val="18"/>
                <w:szCs w:val="18"/>
              </w:rPr>
            </w:pPr>
          </w:p>
        </w:tc>
        <w:tc>
          <w:tcPr>
            <w:tcW w:w="476"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eastAsia="宋体" w:cs="宋体"/>
                <w:kern w:val="0"/>
                <w:sz w:val="18"/>
                <w:szCs w:val="18"/>
                <w:lang w:bidi="ar"/>
              </w:rPr>
              <w:t>包子</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15</w:t>
            </w:r>
          </w:p>
        </w:tc>
        <w:tc>
          <w:tcPr>
            <w:tcW w:w="284"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16</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6</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6</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8</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9</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29"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w:t>
            </w:r>
          </w:p>
        </w:tc>
        <w:tc>
          <w:tcPr>
            <w:tcW w:w="235"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w:t>
            </w:r>
          </w:p>
        </w:tc>
      </w:tr>
      <w:tr>
        <w:tblPrEx>
          <w:tblCellMar>
            <w:top w:w="0" w:type="dxa"/>
            <w:left w:w="108" w:type="dxa"/>
            <w:bottom w:w="0" w:type="dxa"/>
            <w:right w:w="108" w:type="dxa"/>
          </w:tblCellMar>
        </w:tblPrEx>
        <w:trPr>
          <w:trHeight w:val="331" w:hRule="atLeast"/>
          <w:jc w:val="center"/>
        </w:trPr>
        <w:tc>
          <w:tcPr>
            <w:tcW w:w="221" w:type="pct"/>
            <w:tcBorders>
              <w:top w:val="nil"/>
              <w:left w:val="single" w:color="auto" w:sz="4" w:space="0"/>
              <w:bottom w:val="nil"/>
              <w:right w:val="single" w:color="auto" w:sz="4" w:space="0"/>
            </w:tcBorders>
            <w:noWrap w:val="0"/>
            <w:vAlign w:val="center"/>
          </w:tcPr>
          <w:p>
            <w:pPr>
              <w:widowControl/>
              <w:spacing w:line="200" w:lineRule="exact"/>
              <w:jc w:val="center"/>
              <w:textAlignment w:val="center"/>
              <w:rPr>
                <w:rFonts w:hint="eastAsia" w:ascii="宋体" w:hAnsi="宋体" w:eastAsia="宋体" w:cs="宋体"/>
                <w:sz w:val="18"/>
                <w:szCs w:val="18"/>
              </w:rPr>
            </w:pPr>
            <w:r>
              <w:rPr>
                <w:rFonts w:hint="eastAsia" w:ascii="宋体" w:hAnsi="宋体" w:eastAsia="宋体" w:cs="宋体"/>
                <w:kern w:val="0"/>
                <w:sz w:val="18"/>
                <w:szCs w:val="18"/>
                <w:lang w:bidi="ar"/>
              </w:rPr>
              <w:t xml:space="preserve">         </w:t>
            </w:r>
          </w:p>
        </w:tc>
        <w:tc>
          <w:tcPr>
            <w:tcW w:w="221" w:type="pct"/>
            <w:vMerge w:val="continue"/>
            <w:tcBorders>
              <w:top w:val="single" w:color="000000" w:sz="8" w:space="0"/>
              <w:left w:val="single" w:color="auto" w:sz="4" w:space="0"/>
              <w:bottom w:val="single" w:color="000000" w:sz="4"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p>
        </w:tc>
        <w:tc>
          <w:tcPr>
            <w:tcW w:w="817" w:type="pct"/>
            <w:gridSpan w:val="2"/>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121</w:t>
            </w:r>
          </w:p>
        </w:tc>
        <w:tc>
          <w:tcPr>
            <w:tcW w:w="284"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121</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58</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58</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eastAsia="宋体" w:cs="宋体"/>
                <w:b/>
                <w:bCs/>
                <w:sz w:val="18"/>
                <w:szCs w:val="18"/>
              </w:rPr>
            </w:pPr>
            <w:r>
              <w:rPr>
                <w:rFonts w:hint="eastAsia" w:ascii="宋体" w:hAnsi="宋体" w:eastAsia="宋体" w:cs="宋体"/>
                <w:b/>
                <w:bCs/>
                <w:sz w:val="18"/>
                <w:szCs w:val="18"/>
              </w:rPr>
              <w:t>55</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55</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w:t>
            </w:r>
          </w:p>
        </w:tc>
        <w:tc>
          <w:tcPr>
            <w:tcW w:w="229"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8</w:t>
            </w:r>
          </w:p>
        </w:tc>
        <w:tc>
          <w:tcPr>
            <w:tcW w:w="235"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eastAsia="宋体" w:cs="宋体"/>
                <w:b/>
                <w:bCs/>
                <w:sz w:val="18"/>
                <w:szCs w:val="18"/>
              </w:rPr>
            </w:pPr>
            <w:r>
              <w:rPr>
                <w:rFonts w:hint="eastAsia" w:ascii="宋体" w:hAnsi="宋体" w:eastAsia="宋体" w:cs="宋体"/>
                <w:b/>
                <w:bCs/>
                <w:sz w:val="18"/>
                <w:szCs w:val="18"/>
              </w:rPr>
              <w:t>8</w:t>
            </w:r>
          </w:p>
        </w:tc>
      </w:tr>
      <w:tr>
        <w:tblPrEx>
          <w:tblCellMar>
            <w:top w:w="0" w:type="dxa"/>
            <w:left w:w="108" w:type="dxa"/>
            <w:bottom w:w="0" w:type="dxa"/>
            <w:right w:w="108" w:type="dxa"/>
          </w:tblCellMar>
        </w:tblPrEx>
        <w:trPr>
          <w:trHeight w:val="323" w:hRule="atLeast"/>
          <w:jc w:val="center"/>
        </w:trPr>
        <w:tc>
          <w:tcPr>
            <w:tcW w:w="221" w:type="pct"/>
            <w:tcBorders>
              <w:top w:val="nil"/>
              <w:left w:val="single" w:color="auto" w:sz="4" w:space="0"/>
              <w:bottom w:val="nil"/>
              <w:right w:val="single" w:color="auto" w:sz="4"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restart"/>
            <w:tcBorders>
              <w:top w:val="single" w:color="000000" w:sz="4" w:space="0"/>
              <w:left w:val="single" w:color="auto" w:sz="4" w:space="0"/>
              <w:right w:val="single" w:color="000000" w:sz="8" w:space="0"/>
            </w:tcBorders>
            <w:noWrap w:val="0"/>
            <w:vAlign w:val="center"/>
          </w:tcPr>
          <w:p>
            <w:pPr>
              <w:widowControl/>
              <w:spacing w:line="200" w:lineRule="exact"/>
              <w:textAlignment w:val="center"/>
              <w:rPr>
                <w:rFonts w:hint="eastAsia" w:ascii="宋体" w:hAnsi="宋体" w:cs="宋体"/>
                <w:kern w:val="0"/>
                <w:sz w:val="18"/>
                <w:szCs w:val="18"/>
                <w:lang w:bidi="ar"/>
              </w:rPr>
            </w:pPr>
          </w:p>
          <w:p>
            <w:pPr>
              <w:widowControl/>
              <w:spacing w:line="200" w:lineRule="exact"/>
              <w:textAlignment w:val="center"/>
              <w:rPr>
                <w:rFonts w:hint="eastAsia" w:ascii="宋体" w:hAnsi="宋体" w:cs="宋体"/>
                <w:kern w:val="0"/>
                <w:sz w:val="18"/>
                <w:szCs w:val="18"/>
                <w:lang w:bidi="ar"/>
              </w:rPr>
            </w:pPr>
          </w:p>
          <w:p>
            <w:pPr>
              <w:widowControl/>
              <w:spacing w:line="200" w:lineRule="exact"/>
              <w:textAlignment w:val="center"/>
              <w:rPr>
                <w:rFonts w:hint="eastAsia" w:ascii="宋体" w:hAnsi="宋体" w:cs="宋体"/>
                <w:kern w:val="0"/>
                <w:sz w:val="18"/>
                <w:szCs w:val="18"/>
                <w:lang w:bidi="ar"/>
              </w:rPr>
            </w:pPr>
            <w:r>
              <w:rPr>
                <w:rFonts w:hint="eastAsia" w:ascii="宋体" w:hAnsi="宋体" w:cs="宋体"/>
                <w:kern w:val="0"/>
                <w:sz w:val="18"/>
                <w:szCs w:val="18"/>
                <w:lang w:bidi="ar"/>
              </w:rPr>
              <w:t>脱</w:t>
            </w:r>
          </w:p>
          <w:p>
            <w:pPr>
              <w:widowControl/>
              <w:spacing w:line="200" w:lineRule="exact"/>
              <w:textAlignment w:val="center"/>
              <w:rPr>
                <w:rFonts w:hint="eastAsia" w:ascii="宋体" w:hAnsi="宋体" w:cs="宋体"/>
                <w:kern w:val="0"/>
                <w:sz w:val="18"/>
                <w:szCs w:val="18"/>
                <w:lang w:bidi="ar"/>
              </w:rPr>
            </w:pPr>
          </w:p>
          <w:p>
            <w:pPr>
              <w:widowControl/>
              <w:spacing w:line="200" w:lineRule="exact"/>
              <w:textAlignment w:val="center"/>
              <w:rPr>
                <w:rFonts w:hint="eastAsia" w:ascii="宋体" w:hAnsi="宋体" w:cs="宋体"/>
                <w:kern w:val="0"/>
                <w:sz w:val="18"/>
                <w:szCs w:val="18"/>
                <w:lang w:bidi="ar"/>
              </w:rPr>
            </w:pPr>
            <w:r>
              <w:rPr>
                <w:rFonts w:hint="eastAsia" w:ascii="宋体" w:hAnsi="宋体" w:cs="宋体"/>
                <w:kern w:val="0"/>
                <w:sz w:val="18"/>
                <w:szCs w:val="18"/>
                <w:lang w:bidi="ar"/>
              </w:rPr>
              <w:t>贫</w:t>
            </w:r>
          </w:p>
          <w:p>
            <w:pPr>
              <w:widowControl/>
              <w:spacing w:line="200" w:lineRule="exact"/>
              <w:textAlignment w:val="center"/>
              <w:rPr>
                <w:rFonts w:hint="eastAsia" w:ascii="宋体" w:hAnsi="宋体" w:cs="宋体"/>
                <w:kern w:val="0"/>
                <w:sz w:val="18"/>
                <w:szCs w:val="18"/>
                <w:lang w:bidi="ar"/>
              </w:rPr>
            </w:pPr>
          </w:p>
          <w:p>
            <w:pPr>
              <w:widowControl/>
              <w:spacing w:line="200" w:lineRule="exact"/>
              <w:textAlignment w:val="center"/>
              <w:rPr>
                <w:rFonts w:hint="eastAsia" w:ascii="宋体" w:hAnsi="宋体" w:cs="宋体"/>
                <w:kern w:val="0"/>
                <w:sz w:val="18"/>
                <w:szCs w:val="18"/>
                <w:lang w:bidi="ar"/>
              </w:rPr>
            </w:pPr>
            <w:r>
              <w:rPr>
                <w:rFonts w:hint="eastAsia" w:ascii="宋体" w:hAnsi="宋体" w:cs="宋体"/>
                <w:kern w:val="0"/>
                <w:sz w:val="18"/>
                <w:szCs w:val="18"/>
                <w:lang w:bidi="ar"/>
              </w:rPr>
              <w:t>地</w:t>
            </w:r>
          </w:p>
          <w:p>
            <w:pPr>
              <w:widowControl/>
              <w:spacing w:line="200" w:lineRule="exact"/>
              <w:textAlignment w:val="center"/>
              <w:rPr>
                <w:rFonts w:hint="eastAsia" w:ascii="宋体" w:hAnsi="宋体" w:cs="宋体"/>
                <w:kern w:val="0"/>
                <w:sz w:val="18"/>
                <w:szCs w:val="18"/>
                <w:lang w:bidi="ar"/>
              </w:rPr>
            </w:pPr>
          </w:p>
          <w:p>
            <w:pPr>
              <w:widowControl/>
              <w:spacing w:line="200" w:lineRule="exact"/>
              <w:textAlignment w:val="center"/>
              <w:rPr>
                <w:rFonts w:hint="eastAsia" w:ascii="宋体" w:hAnsi="宋体" w:cs="宋体"/>
                <w:kern w:val="0"/>
                <w:sz w:val="18"/>
                <w:szCs w:val="18"/>
                <w:lang w:bidi="ar"/>
              </w:rPr>
            </w:pPr>
            <w:r>
              <w:rPr>
                <w:rFonts w:hint="eastAsia" w:ascii="宋体" w:hAnsi="宋体" w:cs="宋体"/>
                <w:kern w:val="0"/>
                <w:sz w:val="18"/>
                <w:szCs w:val="18"/>
                <w:lang w:bidi="ar"/>
              </w:rPr>
              <w:t>区</w:t>
            </w:r>
          </w:p>
          <w:p>
            <w:pPr>
              <w:widowControl/>
              <w:spacing w:line="200" w:lineRule="exact"/>
              <w:textAlignment w:val="center"/>
              <w:rPr>
                <w:rFonts w:hint="eastAsia" w:ascii="宋体" w:hAnsi="宋体" w:cs="宋体"/>
                <w:kern w:val="0"/>
                <w:sz w:val="18"/>
                <w:szCs w:val="18"/>
                <w:lang w:bidi="ar"/>
              </w:rPr>
            </w:pPr>
          </w:p>
          <w:p>
            <w:pPr>
              <w:widowControl/>
              <w:spacing w:line="200" w:lineRule="exact"/>
              <w:textAlignment w:val="center"/>
              <w:rPr>
                <w:rFonts w:hint="eastAsia" w:ascii="宋体" w:hAnsi="宋体" w:cs="宋体"/>
                <w:kern w:val="0"/>
                <w:sz w:val="18"/>
                <w:szCs w:val="18"/>
                <w:lang w:bidi="ar"/>
              </w:rPr>
            </w:pPr>
            <w:r>
              <w:rPr>
                <w:rFonts w:hint="eastAsia" w:ascii="宋体" w:hAnsi="宋体" w:cs="宋体"/>
                <w:kern w:val="0"/>
                <w:sz w:val="18"/>
                <w:szCs w:val="18"/>
                <w:lang w:bidi="ar"/>
              </w:rPr>
              <w:t>食</w:t>
            </w:r>
          </w:p>
          <w:p>
            <w:pPr>
              <w:widowControl/>
              <w:spacing w:line="200" w:lineRule="exact"/>
              <w:textAlignment w:val="center"/>
              <w:rPr>
                <w:rFonts w:hint="eastAsia" w:ascii="宋体" w:hAnsi="宋体" w:cs="宋体"/>
                <w:kern w:val="0"/>
                <w:sz w:val="18"/>
                <w:szCs w:val="18"/>
                <w:lang w:bidi="ar"/>
              </w:rPr>
            </w:pPr>
          </w:p>
          <w:p>
            <w:pPr>
              <w:widowControl/>
              <w:spacing w:line="200" w:lineRule="exact"/>
              <w:textAlignment w:val="center"/>
              <w:rPr>
                <w:rFonts w:hint="eastAsia" w:ascii="宋体" w:hAnsi="宋体" w:cs="宋体"/>
                <w:kern w:val="0"/>
                <w:sz w:val="18"/>
                <w:szCs w:val="18"/>
                <w:lang w:bidi="ar"/>
              </w:rPr>
            </w:pPr>
            <w:r>
              <w:rPr>
                <w:rFonts w:hint="eastAsia" w:ascii="宋体" w:hAnsi="宋体" w:cs="宋体"/>
                <w:kern w:val="0"/>
                <w:sz w:val="18"/>
                <w:szCs w:val="18"/>
                <w:lang w:bidi="ar"/>
              </w:rPr>
              <w:t>品</w:t>
            </w:r>
          </w:p>
          <w:p>
            <w:pPr>
              <w:widowControl/>
              <w:spacing w:line="200" w:lineRule="exact"/>
              <w:textAlignment w:val="center"/>
              <w:rPr>
                <w:rFonts w:hint="eastAsia" w:ascii="宋体" w:hAnsi="宋体" w:cs="宋体"/>
                <w:kern w:val="0"/>
                <w:sz w:val="18"/>
                <w:szCs w:val="18"/>
                <w:lang w:bidi="ar"/>
              </w:rPr>
            </w:pPr>
          </w:p>
          <w:p>
            <w:pPr>
              <w:widowControl/>
              <w:spacing w:line="200" w:lineRule="exact"/>
              <w:textAlignment w:val="center"/>
              <w:rPr>
                <w:rFonts w:hint="eastAsia" w:ascii="宋体" w:hAnsi="宋体" w:cs="宋体"/>
                <w:kern w:val="0"/>
                <w:sz w:val="18"/>
                <w:szCs w:val="18"/>
                <w:lang w:bidi="ar"/>
              </w:rPr>
            </w:pPr>
            <w:r>
              <w:rPr>
                <w:rFonts w:hint="eastAsia" w:ascii="宋体" w:hAnsi="宋体" w:cs="宋体"/>
                <w:kern w:val="0"/>
                <w:sz w:val="18"/>
                <w:szCs w:val="18"/>
                <w:lang w:bidi="ar"/>
              </w:rPr>
              <w:t>安</w:t>
            </w:r>
          </w:p>
          <w:p>
            <w:pPr>
              <w:widowControl/>
              <w:spacing w:line="200" w:lineRule="exact"/>
              <w:textAlignment w:val="center"/>
              <w:rPr>
                <w:rFonts w:hint="eastAsia" w:ascii="宋体" w:hAnsi="宋体" w:cs="宋体"/>
                <w:kern w:val="0"/>
                <w:sz w:val="18"/>
                <w:szCs w:val="18"/>
                <w:lang w:bidi="ar"/>
              </w:rPr>
            </w:pPr>
          </w:p>
          <w:p>
            <w:pPr>
              <w:widowControl/>
              <w:spacing w:line="200" w:lineRule="exact"/>
              <w:textAlignment w:val="center"/>
              <w:rPr>
                <w:rFonts w:hint="eastAsia" w:ascii="宋体" w:hAnsi="宋体" w:cs="宋体"/>
                <w:kern w:val="0"/>
                <w:sz w:val="18"/>
                <w:szCs w:val="18"/>
                <w:lang w:bidi="ar"/>
              </w:rPr>
            </w:pPr>
            <w:r>
              <w:rPr>
                <w:rFonts w:hint="eastAsia" w:ascii="宋体" w:hAnsi="宋体" w:cs="宋体"/>
                <w:kern w:val="0"/>
                <w:sz w:val="18"/>
                <w:szCs w:val="18"/>
                <w:lang w:bidi="ar"/>
              </w:rPr>
              <w:t>全</w:t>
            </w:r>
          </w:p>
          <w:p>
            <w:pPr>
              <w:widowControl/>
              <w:spacing w:line="200" w:lineRule="exact"/>
              <w:textAlignment w:val="center"/>
              <w:rPr>
                <w:rFonts w:hint="eastAsia" w:ascii="宋体" w:hAnsi="宋体" w:cs="宋体"/>
                <w:kern w:val="0"/>
                <w:sz w:val="18"/>
                <w:szCs w:val="18"/>
                <w:lang w:bidi="ar"/>
              </w:rPr>
            </w:pPr>
          </w:p>
          <w:p>
            <w:pPr>
              <w:widowControl/>
              <w:spacing w:line="200" w:lineRule="exact"/>
              <w:textAlignment w:val="center"/>
              <w:rPr>
                <w:rFonts w:hint="eastAsia" w:ascii="宋体" w:hAnsi="宋体" w:cs="宋体"/>
                <w:kern w:val="0"/>
                <w:sz w:val="18"/>
                <w:szCs w:val="18"/>
                <w:lang w:bidi="ar"/>
              </w:rPr>
            </w:pPr>
            <w:r>
              <w:rPr>
                <w:rFonts w:hint="eastAsia" w:ascii="宋体" w:hAnsi="宋体" w:cs="宋体"/>
                <w:kern w:val="0"/>
                <w:sz w:val="18"/>
                <w:szCs w:val="18"/>
                <w:lang w:bidi="ar"/>
              </w:rPr>
              <w:t>专</w:t>
            </w:r>
          </w:p>
          <w:p>
            <w:pPr>
              <w:widowControl/>
              <w:spacing w:line="200" w:lineRule="exact"/>
              <w:textAlignment w:val="center"/>
              <w:rPr>
                <w:rFonts w:hint="eastAsia" w:ascii="宋体" w:hAnsi="宋体" w:cs="宋体"/>
                <w:kern w:val="0"/>
                <w:sz w:val="18"/>
                <w:szCs w:val="18"/>
                <w:lang w:bidi="ar"/>
              </w:rPr>
            </w:pPr>
          </w:p>
          <w:p>
            <w:pPr>
              <w:widowControl/>
              <w:spacing w:line="200" w:lineRule="exact"/>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项</w:t>
            </w:r>
          </w:p>
        </w:tc>
        <w:tc>
          <w:tcPr>
            <w:tcW w:w="341" w:type="pct"/>
            <w:vMerge w:val="restar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粮食加工品</w:t>
            </w:r>
          </w:p>
        </w:tc>
        <w:tc>
          <w:tcPr>
            <w:tcW w:w="476"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大米</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13</w:t>
            </w:r>
          </w:p>
        </w:tc>
        <w:tc>
          <w:tcPr>
            <w:tcW w:w="284"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13</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4</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4</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6</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3</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1</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4</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2</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2</w:t>
            </w:r>
          </w:p>
        </w:tc>
        <w:tc>
          <w:tcPr>
            <w:tcW w:w="229"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r>
      <w:tr>
        <w:tblPrEx>
          <w:tblCellMar>
            <w:top w:w="0" w:type="dxa"/>
            <w:left w:w="108" w:type="dxa"/>
            <w:bottom w:w="0" w:type="dxa"/>
            <w:right w:w="108" w:type="dxa"/>
          </w:tblCellMar>
        </w:tblPrEx>
        <w:trPr>
          <w:trHeight w:val="321" w:hRule="atLeast"/>
          <w:jc w:val="center"/>
        </w:trPr>
        <w:tc>
          <w:tcPr>
            <w:tcW w:w="221" w:type="pct"/>
            <w:tcBorders>
              <w:top w:val="nil"/>
              <w:left w:val="single" w:color="auto" w:sz="4" w:space="0"/>
              <w:bottom w:val="nil"/>
              <w:right w:val="single" w:color="auto" w:sz="4"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left w:val="single" w:color="auto" w:sz="4"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476" w:type="pct"/>
            <w:tcBorders>
              <w:top w:val="single" w:color="000000" w:sz="8" w:space="0"/>
              <w:left w:val="single" w:color="000000" w:sz="8" w:space="0"/>
              <w:bottom w:val="single" w:color="000000" w:sz="8" w:space="0"/>
              <w:right w:val="single" w:color="000000" w:sz="8" w:space="0"/>
            </w:tcBorders>
            <w:noWrap w:val="0"/>
            <w:vAlign w:val="center"/>
          </w:tcPr>
          <w:p>
            <w:pPr>
              <w:widowControl/>
              <w:tabs>
                <w:tab w:val="left" w:pos="539"/>
              </w:tabs>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挂面</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1</w:t>
            </w:r>
          </w:p>
        </w:tc>
        <w:tc>
          <w:tcPr>
            <w:tcW w:w="284"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1</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0</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0</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1</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1</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0</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0</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0</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0</w:t>
            </w:r>
          </w:p>
        </w:tc>
        <w:tc>
          <w:tcPr>
            <w:tcW w:w="229"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r>
      <w:tr>
        <w:tblPrEx>
          <w:tblCellMar>
            <w:top w:w="0" w:type="dxa"/>
            <w:left w:w="108" w:type="dxa"/>
            <w:bottom w:w="0" w:type="dxa"/>
            <w:right w:w="108" w:type="dxa"/>
          </w:tblCellMar>
        </w:tblPrEx>
        <w:trPr>
          <w:trHeight w:val="321" w:hRule="atLeast"/>
          <w:jc w:val="center"/>
        </w:trPr>
        <w:tc>
          <w:tcPr>
            <w:tcW w:w="221" w:type="pct"/>
            <w:tcBorders>
              <w:top w:val="nil"/>
              <w:left w:val="single" w:color="auto" w:sz="4" w:space="0"/>
              <w:bottom w:val="nil"/>
              <w:right w:val="single" w:color="auto" w:sz="4"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p>
        </w:tc>
        <w:tc>
          <w:tcPr>
            <w:tcW w:w="221" w:type="pct"/>
            <w:vMerge w:val="continue"/>
            <w:tcBorders>
              <w:left w:val="single" w:color="auto" w:sz="4"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食用油</w:t>
            </w:r>
          </w:p>
        </w:tc>
        <w:tc>
          <w:tcPr>
            <w:tcW w:w="476"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菜籽油、大豆油、食用调和油</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9</w:t>
            </w:r>
          </w:p>
        </w:tc>
        <w:tc>
          <w:tcPr>
            <w:tcW w:w="284"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9</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0</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0</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8</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8</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1</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1</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0</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0</w:t>
            </w:r>
          </w:p>
        </w:tc>
        <w:tc>
          <w:tcPr>
            <w:tcW w:w="229"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r>
      <w:tr>
        <w:tblPrEx>
          <w:tblCellMar>
            <w:top w:w="0" w:type="dxa"/>
            <w:left w:w="108" w:type="dxa"/>
            <w:bottom w:w="0" w:type="dxa"/>
            <w:right w:w="108" w:type="dxa"/>
          </w:tblCellMar>
        </w:tblPrEx>
        <w:trPr>
          <w:trHeight w:val="321" w:hRule="atLeast"/>
          <w:jc w:val="center"/>
        </w:trPr>
        <w:tc>
          <w:tcPr>
            <w:tcW w:w="221" w:type="pct"/>
            <w:tcBorders>
              <w:top w:val="nil"/>
              <w:left w:val="single" w:color="auto" w:sz="4" w:space="0"/>
              <w:bottom w:val="nil"/>
              <w:right w:val="single" w:color="auto" w:sz="4"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b/>
                <w:bCs/>
                <w:kern w:val="0"/>
                <w:sz w:val="18"/>
                <w:szCs w:val="18"/>
                <w:lang w:bidi="ar"/>
              </w:rPr>
              <w:t>4</w:t>
            </w:r>
          </w:p>
        </w:tc>
        <w:tc>
          <w:tcPr>
            <w:tcW w:w="221" w:type="pct"/>
            <w:vMerge w:val="continue"/>
            <w:tcBorders>
              <w:left w:val="single" w:color="auto" w:sz="4"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肉制品</w:t>
            </w:r>
          </w:p>
        </w:tc>
        <w:tc>
          <w:tcPr>
            <w:tcW w:w="476"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酱卤肉制品</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8</w:t>
            </w:r>
          </w:p>
        </w:tc>
        <w:tc>
          <w:tcPr>
            <w:tcW w:w="284"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8</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2</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2</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4</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4</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2</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2</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0</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0</w:t>
            </w:r>
          </w:p>
        </w:tc>
        <w:tc>
          <w:tcPr>
            <w:tcW w:w="229"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r>
      <w:tr>
        <w:tblPrEx>
          <w:tblCellMar>
            <w:top w:w="0" w:type="dxa"/>
            <w:left w:w="108" w:type="dxa"/>
            <w:bottom w:w="0" w:type="dxa"/>
            <w:right w:w="108" w:type="dxa"/>
          </w:tblCellMar>
        </w:tblPrEx>
        <w:trPr>
          <w:trHeight w:val="321" w:hRule="atLeast"/>
          <w:jc w:val="center"/>
        </w:trPr>
        <w:tc>
          <w:tcPr>
            <w:tcW w:w="221" w:type="pct"/>
            <w:tcBorders>
              <w:top w:val="nil"/>
              <w:left w:val="single" w:color="auto" w:sz="4" w:space="0"/>
              <w:bottom w:val="nil"/>
              <w:right w:val="single" w:color="auto" w:sz="4"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left w:val="single" w:color="auto" w:sz="4"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酒类</w:t>
            </w:r>
          </w:p>
        </w:tc>
        <w:tc>
          <w:tcPr>
            <w:tcW w:w="476"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白酒、白酒（液态）、白酒（原酒）</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8</w:t>
            </w:r>
          </w:p>
        </w:tc>
        <w:tc>
          <w:tcPr>
            <w:tcW w:w="284"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8</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2</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2</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0</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0</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0</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0</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6</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6</w:t>
            </w:r>
          </w:p>
        </w:tc>
        <w:tc>
          <w:tcPr>
            <w:tcW w:w="229"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r>
      <w:tr>
        <w:tblPrEx>
          <w:tblCellMar>
            <w:top w:w="0" w:type="dxa"/>
            <w:left w:w="108" w:type="dxa"/>
            <w:bottom w:w="0" w:type="dxa"/>
            <w:right w:w="108" w:type="dxa"/>
          </w:tblCellMar>
        </w:tblPrEx>
        <w:trPr>
          <w:trHeight w:val="321" w:hRule="atLeast"/>
          <w:jc w:val="center"/>
        </w:trPr>
        <w:tc>
          <w:tcPr>
            <w:tcW w:w="221" w:type="pct"/>
            <w:tcBorders>
              <w:top w:val="nil"/>
              <w:left w:val="single" w:color="auto" w:sz="4" w:space="0"/>
              <w:bottom w:val="nil"/>
              <w:right w:val="single" w:color="auto" w:sz="4"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left w:val="single" w:color="auto" w:sz="4"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restar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蔬菜制品</w:t>
            </w:r>
          </w:p>
        </w:tc>
        <w:tc>
          <w:tcPr>
            <w:tcW w:w="476"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蔬菜干制品</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9</w:t>
            </w:r>
          </w:p>
        </w:tc>
        <w:tc>
          <w:tcPr>
            <w:tcW w:w="284"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9</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2</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3</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3</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1</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4</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5</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0</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0</w:t>
            </w:r>
          </w:p>
        </w:tc>
        <w:tc>
          <w:tcPr>
            <w:tcW w:w="229"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r>
      <w:tr>
        <w:tblPrEx>
          <w:tblCellMar>
            <w:top w:w="0" w:type="dxa"/>
            <w:left w:w="108" w:type="dxa"/>
            <w:bottom w:w="0" w:type="dxa"/>
            <w:right w:w="108" w:type="dxa"/>
          </w:tblCellMar>
        </w:tblPrEx>
        <w:trPr>
          <w:trHeight w:val="321" w:hRule="atLeast"/>
          <w:jc w:val="center"/>
        </w:trPr>
        <w:tc>
          <w:tcPr>
            <w:tcW w:w="221" w:type="pct"/>
            <w:tcBorders>
              <w:top w:val="nil"/>
              <w:left w:val="single" w:color="auto" w:sz="4" w:space="0"/>
              <w:bottom w:val="nil"/>
              <w:right w:val="single" w:color="auto" w:sz="4"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left w:val="single" w:color="auto" w:sz="4"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476"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干制食用菌</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10</w:t>
            </w:r>
          </w:p>
        </w:tc>
        <w:tc>
          <w:tcPr>
            <w:tcW w:w="284"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10</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1</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2</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3</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3</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6</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5</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0</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0</w:t>
            </w:r>
          </w:p>
        </w:tc>
        <w:tc>
          <w:tcPr>
            <w:tcW w:w="229"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r>
      <w:tr>
        <w:tblPrEx>
          <w:tblCellMar>
            <w:top w:w="0" w:type="dxa"/>
            <w:left w:w="108" w:type="dxa"/>
            <w:bottom w:w="0" w:type="dxa"/>
            <w:right w:w="108" w:type="dxa"/>
          </w:tblCellMar>
        </w:tblPrEx>
        <w:trPr>
          <w:trHeight w:val="321" w:hRule="atLeast"/>
          <w:jc w:val="center"/>
        </w:trPr>
        <w:tc>
          <w:tcPr>
            <w:tcW w:w="221" w:type="pct"/>
            <w:tcBorders>
              <w:top w:val="nil"/>
              <w:left w:val="single" w:color="auto" w:sz="4" w:space="0"/>
              <w:bottom w:val="nil"/>
              <w:right w:val="single" w:color="auto" w:sz="4"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left w:val="single" w:color="auto" w:sz="4"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淀粉及淀粉制品</w:t>
            </w:r>
          </w:p>
        </w:tc>
        <w:tc>
          <w:tcPr>
            <w:tcW w:w="476"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粉丝粉条</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3</w:t>
            </w:r>
          </w:p>
        </w:tc>
        <w:tc>
          <w:tcPr>
            <w:tcW w:w="284"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3</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1</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3</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0</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0</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2</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0</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0</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0</w:t>
            </w:r>
          </w:p>
        </w:tc>
        <w:tc>
          <w:tcPr>
            <w:tcW w:w="229"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r>
      <w:tr>
        <w:tblPrEx>
          <w:tblCellMar>
            <w:top w:w="0" w:type="dxa"/>
            <w:left w:w="108" w:type="dxa"/>
            <w:bottom w:w="0" w:type="dxa"/>
            <w:right w:w="108" w:type="dxa"/>
          </w:tblCellMar>
        </w:tblPrEx>
        <w:trPr>
          <w:trHeight w:val="321" w:hRule="atLeast"/>
          <w:jc w:val="center"/>
        </w:trPr>
        <w:tc>
          <w:tcPr>
            <w:tcW w:w="221" w:type="pct"/>
            <w:vMerge w:val="restart"/>
            <w:tcBorders>
              <w:top w:val="nil"/>
              <w:left w:val="single" w:color="auto" w:sz="4" w:space="0"/>
              <w:bottom w:val="single" w:color="auto" w:sz="4" w:space="0"/>
              <w:right w:val="single" w:color="auto" w:sz="4" w:space="0"/>
            </w:tcBorders>
            <w:noWrap w:val="0"/>
            <w:vAlign w:val="center"/>
          </w:tcPr>
          <w:p>
            <w:pPr>
              <w:widowControl/>
              <w:spacing w:line="200" w:lineRule="exact"/>
              <w:jc w:val="center"/>
              <w:textAlignment w:val="center"/>
              <w:rPr>
                <w:rFonts w:hint="eastAsia" w:ascii="宋体" w:hAnsi="宋体" w:cs="宋体"/>
                <w:kern w:val="0"/>
                <w:sz w:val="18"/>
                <w:szCs w:val="18"/>
                <w:lang w:bidi="ar"/>
              </w:rPr>
            </w:pPr>
            <w:r>
              <w:rPr>
                <w:rFonts w:ascii="宋体" w:hAnsi="宋体" w:cs="宋体"/>
                <w:kern w:val="0"/>
                <w:sz w:val="18"/>
                <w:szCs w:val="18"/>
                <w:lang w:val="en" w:bidi="ar"/>
              </w:rPr>
              <w:t xml:space="preserve">        </w:t>
            </w:r>
          </w:p>
        </w:tc>
        <w:tc>
          <w:tcPr>
            <w:tcW w:w="221" w:type="pct"/>
            <w:vMerge w:val="continue"/>
            <w:tcBorders>
              <w:left w:val="single" w:color="auto" w:sz="4" w:space="0"/>
              <w:right w:val="single" w:color="000000" w:sz="8"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341"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豆制品</w:t>
            </w:r>
          </w:p>
        </w:tc>
        <w:tc>
          <w:tcPr>
            <w:tcW w:w="476"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eastAsia="宋体" w:cs="宋体"/>
                <w:kern w:val="0"/>
                <w:sz w:val="18"/>
                <w:szCs w:val="18"/>
                <w:lang w:bidi="ar"/>
              </w:rPr>
            </w:pPr>
            <w:r>
              <w:rPr>
                <w:rFonts w:hint="eastAsia" w:ascii="宋体" w:hAnsi="宋体" w:cs="宋体"/>
                <w:kern w:val="0"/>
                <w:sz w:val="18"/>
                <w:szCs w:val="18"/>
                <w:lang w:bidi="ar"/>
              </w:rPr>
              <w:t>豆制品（非发酵性豆制品豆干、豆腐、豆皮等）</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4</w:t>
            </w:r>
          </w:p>
        </w:tc>
        <w:tc>
          <w:tcPr>
            <w:tcW w:w="284"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4</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2</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2</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2</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2</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0</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b/>
                <w:bCs/>
                <w:kern w:val="0"/>
                <w:sz w:val="18"/>
                <w:szCs w:val="18"/>
                <w:lang w:val="en" w:bidi="ar"/>
              </w:rPr>
            </w:pPr>
            <w:r>
              <w:rPr>
                <w:rFonts w:ascii="宋体" w:hAnsi="宋体" w:cs="宋体"/>
                <w:b/>
                <w:bCs/>
                <w:kern w:val="0"/>
                <w:sz w:val="18"/>
                <w:szCs w:val="18"/>
                <w:lang w:val="en" w:bidi="ar"/>
              </w:rPr>
              <w:t>0</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0</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0</w:t>
            </w:r>
          </w:p>
        </w:tc>
        <w:tc>
          <w:tcPr>
            <w:tcW w:w="229"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r>
      <w:tr>
        <w:tblPrEx>
          <w:tblCellMar>
            <w:top w:w="0" w:type="dxa"/>
            <w:left w:w="108" w:type="dxa"/>
            <w:bottom w:w="0" w:type="dxa"/>
            <w:right w:w="108" w:type="dxa"/>
          </w:tblCellMar>
        </w:tblPrEx>
        <w:trPr>
          <w:trHeight w:val="321" w:hRule="atLeast"/>
          <w:jc w:val="center"/>
        </w:trPr>
        <w:tc>
          <w:tcPr>
            <w:tcW w:w="22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00" w:lineRule="exact"/>
              <w:jc w:val="center"/>
              <w:textAlignment w:val="center"/>
              <w:rPr>
                <w:rFonts w:hint="eastAsia" w:ascii="宋体" w:hAnsi="宋体" w:cs="宋体"/>
                <w:kern w:val="0"/>
                <w:sz w:val="18"/>
                <w:szCs w:val="18"/>
                <w:lang w:bidi="ar"/>
              </w:rPr>
            </w:pPr>
          </w:p>
        </w:tc>
        <w:tc>
          <w:tcPr>
            <w:tcW w:w="221" w:type="pct"/>
            <w:vMerge w:val="continue"/>
            <w:tcBorders>
              <w:left w:val="single" w:color="auto" w:sz="4"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kern w:val="0"/>
                <w:sz w:val="18"/>
                <w:szCs w:val="18"/>
                <w:lang w:val="en" w:bidi="ar"/>
              </w:rPr>
            </w:pPr>
          </w:p>
        </w:tc>
        <w:tc>
          <w:tcPr>
            <w:tcW w:w="817" w:type="pct"/>
            <w:gridSpan w:val="2"/>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ascii="宋体" w:hAnsi="宋体" w:cs="宋体"/>
                <w:kern w:val="0"/>
                <w:sz w:val="18"/>
                <w:szCs w:val="18"/>
                <w:lang w:val="en" w:bidi="ar"/>
              </w:rPr>
            </w:pPr>
            <w:r>
              <w:rPr>
                <w:rFonts w:hint="eastAsia" w:ascii="宋体" w:hAnsi="宋体" w:cs="宋体"/>
                <w:kern w:val="0"/>
                <w:sz w:val="18"/>
                <w:szCs w:val="18"/>
                <w:lang w:val="en" w:bidi="ar"/>
              </w:rPr>
              <w:t>小计</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65</w:t>
            </w:r>
          </w:p>
        </w:tc>
        <w:tc>
          <w:tcPr>
            <w:tcW w:w="284"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65</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14</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18</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27</w:t>
            </w:r>
          </w:p>
        </w:tc>
        <w:tc>
          <w:tcPr>
            <w:tcW w:w="235"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22</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16</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17</w:t>
            </w:r>
          </w:p>
        </w:tc>
        <w:tc>
          <w:tcPr>
            <w:tcW w:w="277"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8</w:t>
            </w:r>
          </w:p>
        </w:tc>
        <w:tc>
          <w:tcPr>
            <w:tcW w:w="284"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ascii="宋体" w:hAnsi="宋体" w:cs="宋体"/>
                <w:b/>
                <w:bCs/>
                <w:kern w:val="0"/>
                <w:sz w:val="18"/>
                <w:szCs w:val="18"/>
                <w:lang w:val="en" w:bidi="ar"/>
              </w:rPr>
              <w:t>8</w:t>
            </w:r>
          </w:p>
        </w:tc>
        <w:tc>
          <w:tcPr>
            <w:tcW w:w="229" w:type="pct"/>
            <w:tcBorders>
              <w:top w:val="single" w:color="000000" w:sz="8" w:space="0"/>
              <w:left w:val="single" w:color="000000" w:sz="8" w:space="0"/>
              <w:bottom w:val="single" w:color="000000" w:sz="8" w:space="0"/>
              <w:right w:val="single" w:color="000000" w:sz="8" w:space="0"/>
            </w:tcBorders>
            <w:noWrap w:val="0"/>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c>
          <w:tcPr>
            <w:tcW w:w="235" w:type="pct"/>
            <w:tcBorders>
              <w:top w:val="single" w:color="000000" w:sz="8" w:space="0"/>
              <w:left w:val="single" w:color="000000" w:sz="8" w:space="0"/>
              <w:bottom w:val="single" w:color="000000" w:sz="8" w:space="0"/>
              <w:right w:val="single" w:color="000000" w:sz="8" w:space="0"/>
            </w:tcBorders>
            <w:noWrap/>
            <w:vAlign w:val="center"/>
          </w:tcPr>
          <w:p>
            <w:pPr>
              <w:widowControl/>
              <w:spacing w:line="200" w:lineRule="exact"/>
              <w:jc w:val="center"/>
              <w:textAlignment w:val="center"/>
              <w:rPr>
                <w:rFonts w:hint="eastAsia" w:ascii="宋体" w:hAnsi="宋体" w:cs="宋体"/>
                <w:b/>
                <w:bCs/>
                <w:kern w:val="0"/>
                <w:sz w:val="18"/>
                <w:szCs w:val="18"/>
                <w:lang w:bidi="ar"/>
              </w:rPr>
            </w:pPr>
            <w:r>
              <w:rPr>
                <w:rFonts w:hint="eastAsia" w:ascii="宋体" w:hAnsi="宋体" w:eastAsia="宋体" w:cs="宋体"/>
                <w:b/>
                <w:bCs/>
                <w:sz w:val="18"/>
                <w:szCs w:val="18"/>
              </w:rPr>
              <w:t>/</w:t>
            </w:r>
          </w:p>
        </w:tc>
      </w:tr>
    </w:tbl>
    <w:p>
      <w:pPr>
        <w:spacing w:line="560" w:lineRule="exact"/>
        <w:ind w:firstLine="1680" w:firstLineChars="600"/>
        <w:jc w:val="center"/>
        <w:rPr>
          <w:rFonts w:hint="eastAsia" w:ascii="仿宋" w:hAnsi="仿宋" w:eastAsia="仿宋"/>
          <w:sz w:val="28"/>
          <w:szCs w:val="28"/>
        </w:rPr>
      </w:pPr>
      <w:r>
        <w:rPr>
          <w:rFonts w:hint="eastAsia" w:ascii="仿宋" w:hAnsi="仿宋" w:eastAsia="仿宋"/>
          <w:sz w:val="28"/>
          <w:szCs w:val="28"/>
        </w:rPr>
        <w:t>表1：巴中市各区县抽检计划和实际完成情况</w:t>
      </w:r>
    </w:p>
    <w:p>
      <w:pPr>
        <w:widowControl/>
        <w:shd w:val="clear" w:color="auto" w:fill="FFFFFF"/>
        <w:spacing w:line="560" w:lineRule="exact"/>
        <w:ind w:firstLine="420" w:firstLineChars="200"/>
        <w:jc w:val="left"/>
        <w:rPr>
          <w:rFonts w:hint="eastAsia" w:ascii="仿宋" w:hAnsi="仿宋" w:eastAsia="仿宋" w:cs="仿宋"/>
          <w:szCs w:val="32"/>
        </w:rPr>
      </w:pPr>
      <w:r>
        <w:rPr>
          <w:rFonts w:hint="eastAsia" w:ascii="仿宋" w:hAnsi="仿宋" w:eastAsia="仿宋" w:cs="仿宋"/>
          <w:szCs w:val="32"/>
        </w:rPr>
        <w:t>中心按照市监局的文件精神要求，对各区县的计划类别实现全覆盖，其中</w:t>
      </w:r>
      <w:r>
        <w:rPr>
          <w:rFonts w:hint="eastAsia" w:ascii="仿宋" w:hAnsi="仿宋" w:eastAsia="仿宋" w:cs="仿宋"/>
          <w:kern w:val="0"/>
          <w:szCs w:val="32"/>
        </w:rPr>
        <w:t>饮料</w:t>
      </w:r>
      <w:r>
        <w:rPr>
          <w:rFonts w:ascii="仿宋" w:hAnsi="仿宋" w:eastAsia="仿宋" w:cs="仿宋"/>
          <w:kern w:val="0"/>
          <w:szCs w:val="32"/>
        </w:rPr>
        <w:t>20</w:t>
      </w:r>
      <w:r>
        <w:rPr>
          <w:rFonts w:hint="eastAsia" w:ascii="仿宋" w:hAnsi="仿宋" w:eastAsia="仿宋" w:cs="仿宋"/>
          <w:kern w:val="0"/>
          <w:szCs w:val="32"/>
        </w:rPr>
        <w:t>批次，不合格样品</w:t>
      </w:r>
      <w:r>
        <w:rPr>
          <w:rFonts w:ascii="仿宋" w:hAnsi="仿宋" w:eastAsia="仿宋" w:cs="仿宋"/>
          <w:kern w:val="0"/>
          <w:szCs w:val="32"/>
        </w:rPr>
        <w:t>1</w:t>
      </w:r>
      <w:r>
        <w:rPr>
          <w:rFonts w:hint="eastAsia" w:ascii="仿宋" w:hAnsi="仿宋" w:eastAsia="仿宋" w:cs="仿宋"/>
          <w:kern w:val="0"/>
          <w:szCs w:val="32"/>
        </w:rPr>
        <w:t>批次；餐饮食品</w:t>
      </w:r>
      <w:r>
        <w:rPr>
          <w:rFonts w:ascii="仿宋" w:hAnsi="仿宋" w:eastAsia="仿宋" w:cs="仿宋"/>
          <w:kern w:val="0"/>
          <w:szCs w:val="32"/>
        </w:rPr>
        <w:t>83</w:t>
      </w:r>
      <w:r>
        <w:rPr>
          <w:rFonts w:hint="eastAsia" w:ascii="仿宋" w:hAnsi="仿宋" w:eastAsia="仿宋" w:cs="仿宋"/>
          <w:kern w:val="0"/>
          <w:szCs w:val="32"/>
        </w:rPr>
        <w:t>批次，不合格样品</w:t>
      </w:r>
      <w:r>
        <w:rPr>
          <w:rFonts w:ascii="仿宋" w:hAnsi="仿宋" w:eastAsia="仿宋" w:cs="仿宋"/>
          <w:kern w:val="0"/>
          <w:szCs w:val="32"/>
        </w:rPr>
        <w:t>1</w:t>
      </w:r>
      <w:r>
        <w:rPr>
          <w:rFonts w:hint="eastAsia" w:ascii="仿宋" w:hAnsi="仿宋" w:eastAsia="仿宋" w:cs="仿宋"/>
          <w:kern w:val="0"/>
          <w:szCs w:val="32"/>
        </w:rPr>
        <w:t>批次；蔬菜制品</w:t>
      </w:r>
      <w:r>
        <w:rPr>
          <w:rFonts w:ascii="仿宋" w:hAnsi="仿宋" w:eastAsia="仿宋" w:cs="仿宋"/>
          <w:kern w:val="0"/>
          <w:szCs w:val="32"/>
        </w:rPr>
        <w:t>71</w:t>
      </w:r>
      <w:r>
        <w:rPr>
          <w:rFonts w:hint="eastAsia" w:ascii="仿宋" w:hAnsi="仿宋" w:eastAsia="仿宋" w:cs="仿宋"/>
          <w:kern w:val="0"/>
          <w:szCs w:val="32"/>
        </w:rPr>
        <w:t>批次，不合格样品</w:t>
      </w:r>
      <w:r>
        <w:rPr>
          <w:rFonts w:ascii="仿宋" w:hAnsi="仿宋" w:eastAsia="仿宋" w:cs="仿宋"/>
          <w:kern w:val="0"/>
          <w:szCs w:val="32"/>
        </w:rPr>
        <w:t>8</w:t>
      </w:r>
      <w:r>
        <w:rPr>
          <w:rFonts w:hint="eastAsia" w:ascii="仿宋" w:hAnsi="仿宋" w:eastAsia="仿宋" w:cs="仿宋"/>
          <w:kern w:val="0"/>
          <w:szCs w:val="32"/>
        </w:rPr>
        <w:t>批次；酒类</w:t>
      </w:r>
      <w:r>
        <w:rPr>
          <w:rFonts w:ascii="仿宋" w:hAnsi="仿宋" w:eastAsia="仿宋" w:cs="仿宋"/>
          <w:kern w:val="0"/>
          <w:szCs w:val="32"/>
        </w:rPr>
        <w:t>31</w:t>
      </w:r>
      <w:r>
        <w:rPr>
          <w:rFonts w:hint="eastAsia" w:ascii="仿宋" w:hAnsi="仿宋" w:eastAsia="仿宋" w:cs="仿宋"/>
          <w:kern w:val="0"/>
          <w:szCs w:val="32"/>
        </w:rPr>
        <w:t>批次，不合格样品</w:t>
      </w:r>
      <w:r>
        <w:rPr>
          <w:rFonts w:ascii="仿宋" w:hAnsi="仿宋" w:eastAsia="仿宋" w:cs="仿宋"/>
          <w:kern w:val="0"/>
          <w:szCs w:val="32"/>
        </w:rPr>
        <w:t>15</w:t>
      </w:r>
      <w:r>
        <w:rPr>
          <w:rFonts w:hint="eastAsia" w:ascii="仿宋" w:hAnsi="仿宋" w:eastAsia="仿宋" w:cs="仿宋"/>
          <w:kern w:val="0"/>
          <w:szCs w:val="32"/>
        </w:rPr>
        <w:t>批次；食用油油脂及其制品</w:t>
      </w:r>
      <w:r>
        <w:rPr>
          <w:rFonts w:ascii="仿宋" w:hAnsi="仿宋" w:eastAsia="仿宋" w:cs="仿宋"/>
          <w:kern w:val="0"/>
          <w:szCs w:val="32"/>
        </w:rPr>
        <w:t>53</w:t>
      </w:r>
      <w:r>
        <w:rPr>
          <w:rFonts w:hint="eastAsia" w:ascii="仿宋" w:hAnsi="仿宋" w:eastAsia="仿宋" w:cs="仿宋"/>
          <w:kern w:val="0"/>
          <w:szCs w:val="32"/>
        </w:rPr>
        <w:t>批次，</w:t>
      </w:r>
      <w:r>
        <w:rPr>
          <w:rFonts w:ascii="仿宋" w:hAnsi="仿宋" w:eastAsia="仿宋" w:cs="仿宋"/>
          <w:kern w:val="0"/>
          <w:szCs w:val="32"/>
        </w:rPr>
        <w:t>不合格样品1批次；</w:t>
      </w:r>
      <w:r>
        <w:rPr>
          <w:rFonts w:hint="eastAsia" w:ascii="仿宋" w:hAnsi="仿宋" w:eastAsia="仿宋" w:cs="仿宋"/>
          <w:kern w:val="0"/>
          <w:szCs w:val="32"/>
        </w:rPr>
        <w:t>粮食加工品</w:t>
      </w:r>
      <w:r>
        <w:rPr>
          <w:rFonts w:ascii="仿宋" w:hAnsi="仿宋" w:eastAsia="仿宋" w:cs="仿宋"/>
          <w:kern w:val="0"/>
          <w:szCs w:val="32"/>
        </w:rPr>
        <w:t>100</w:t>
      </w:r>
      <w:r>
        <w:rPr>
          <w:rFonts w:hint="eastAsia" w:ascii="仿宋" w:hAnsi="仿宋" w:eastAsia="仿宋" w:cs="仿宋"/>
          <w:kern w:val="0"/>
          <w:szCs w:val="32"/>
        </w:rPr>
        <w:t>批次，肉制品</w:t>
      </w:r>
      <w:r>
        <w:rPr>
          <w:rFonts w:ascii="仿宋" w:hAnsi="仿宋" w:eastAsia="仿宋" w:cs="仿宋"/>
          <w:kern w:val="0"/>
          <w:szCs w:val="32"/>
        </w:rPr>
        <w:t>37</w:t>
      </w:r>
      <w:r>
        <w:rPr>
          <w:rFonts w:hint="eastAsia" w:ascii="仿宋" w:hAnsi="仿宋" w:eastAsia="仿宋" w:cs="仿宋"/>
          <w:kern w:val="0"/>
          <w:szCs w:val="32"/>
        </w:rPr>
        <w:t>批次，茶叶及相关制品</w:t>
      </w:r>
      <w:r>
        <w:rPr>
          <w:rFonts w:ascii="仿宋" w:hAnsi="仿宋" w:eastAsia="仿宋" w:cs="仿宋"/>
          <w:kern w:val="0"/>
          <w:szCs w:val="32"/>
        </w:rPr>
        <w:t>10</w:t>
      </w:r>
      <w:r>
        <w:rPr>
          <w:rFonts w:hint="eastAsia" w:ascii="仿宋" w:hAnsi="仿宋" w:eastAsia="仿宋" w:cs="仿宋"/>
          <w:kern w:val="0"/>
          <w:szCs w:val="32"/>
        </w:rPr>
        <w:t>批次，调味品</w:t>
      </w:r>
      <w:r>
        <w:rPr>
          <w:rFonts w:ascii="仿宋" w:hAnsi="仿宋" w:eastAsia="仿宋" w:cs="仿宋"/>
          <w:kern w:val="0"/>
          <w:szCs w:val="32"/>
        </w:rPr>
        <w:t>52</w:t>
      </w:r>
      <w:r>
        <w:rPr>
          <w:rFonts w:hint="eastAsia" w:ascii="仿宋" w:hAnsi="仿宋" w:eastAsia="仿宋" w:cs="仿宋"/>
          <w:kern w:val="0"/>
          <w:szCs w:val="32"/>
        </w:rPr>
        <w:t>批次，糕点</w:t>
      </w:r>
      <w:r>
        <w:rPr>
          <w:rFonts w:ascii="仿宋" w:hAnsi="仿宋" w:eastAsia="仿宋" w:cs="仿宋"/>
          <w:kern w:val="0"/>
          <w:szCs w:val="32"/>
        </w:rPr>
        <w:t>32</w:t>
      </w:r>
      <w:r>
        <w:rPr>
          <w:rFonts w:hint="eastAsia" w:ascii="仿宋" w:hAnsi="仿宋" w:eastAsia="仿宋" w:cs="仿宋"/>
          <w:kern w:val="0"/>
          <w:szCs w:val="32"/>
        </w:rPr>
        <w:t>批次，乳制品</w:t>
      </w:r>
      <w:r>
        <w:rPr>
          <w:rFonts w:ascii="仿宋" w:hAnsi="仿宋" w:eastAsia="仿宋" w:cs="仿宋"/>
          <w:kern w:val="0"/>
          <w:szCs w:val="32"/>
        </w:rPr>
        <w:t>20</w:t>
      </w:r>
      <w:r>
        <w:rPr>
          <w:rFonts w:hint="eastAsia" w:ascii="仿宋" w:hAnsi="仿宋" w:eastAsia="仿宋" w:cs="仿宋"/>
          <w:kern w:val="0"/>
          <w:szCs w:val="32"/>
        </w:rPr>
        <w:t>批次，方便食品</w:t>
      </w:r>
      <w:r>
        <w:rPr>
          <w:rFonts w:ascii="仿宋" w:hAnsi="仿宋" w:eastAsia="仿宋" w:cs="仿宋"/>
          <w:kern w:val="0"/>
          <w:szCs w:val="32"/>
        </w:rPr>
        <w:t>27</w:t>
      </w:r>
      <w:r>
        <w:rPr>
          <w:rFonts w:hint="eastAsia" w:ascii="仿宋" w:hAnsi="仿宋" w:eastAsia="仿宋" w:cs="仿宋"/>
          <w:kern w:val="0"/>
          <w:szCs w:val="32"/>
        </w:rPr>
        <w:t>批次，薯类和膨化食品</w:t>
      </w:r>
      <w:r>
        <w:rPr>
          <w:rFonts w:ascii="仿宋" w:hAnsi="仿宋" w:eastAsia="仿宋" w:cs="仿宋"/>
          <w:kern w:val="0"/>
          <w:szCs w:val="32"/>
        </w:rPr>
        <w:t>29</w:t>
      </w:r>
      <w:r>
        <w:rPr>
          <w:rFonts w:hint="eastAsia" w:ascii="仿宋" w:hAnsi="仿宋" w:eastAsia="仿宋" w:cs="仿宋"/>
          <w:kern w:val="0"/>
          <w:szCs w:val="32"/>
        </w:rPr>
        <w:t>批次，豆制品</w:t>
      </w:r>
      <w:r>
        <w:rPr>
          <w:rFonts w:ascii="仿宋" w:hAnsi="仿宋" w:eastAsia="仿宋" w:cs="仿宋"/>
          <w:kern w:val="0"/>
          <w:szCs w:val="32"/>
        </w:rPr>
        <w:t>19</w:t>
      </w:r>
      <w:r>
        <w:rPr>
          <w:rFonts w:hint="eastAsia" w:ascii="仿宋" w:hAnsi="仿宋" w:eastAsia="仿宋" w:cs="仿宋"/>
          <w:kern w:val="0"/>
          <w:szCs w:val="32"/>
        </w:rPr>
        <w:t>批次，</w:t>
      </w:r>
      <w:r>
        <w:rPr>
          <w:rFonts w:ascii="仿宋" w:hAnsi="仿宋" w:eastAsia="仿宋" w:cs="仿宋"/>
          <w:kern w:val="0"/>
          <w:szCs w:val="32"/>
        </w:rPr>
        <w:t>炒货食品及坚果制品22批次，饼干20批次，罐头20批次</w:t>
      </w:r>
      <w:r>
        <w:rPr>
          <w:rFonts w:hint="eastAsia" w:ascii="仿宋" w:hAnsi="仿宋" w:eastAsia="仿宋" w:cs="仿宋"/>
          <w:kern w:val="0"/>
          <w:szCs w:val="32"/>
        </w:rPr>
        <w:t>，均未检出不合格样品。</w:t>
      </w:r>
    </w:p>
    <w:p>
      <w:pPr>
        <w:spacing w:line="560" w:lineRule="exact"/>
        <w:jc w:val="center"/>
        <w:rPr>
          <w:rFonts w:hint="eastAsia" w:ascii="仿宋" w:hAnsi="仿宋" w:eastAsia="仿宋"/>
          <w:szCs w:val="32"/>
        </w:rPr>
      </w:pPr>
      <w:r>
        <w:rPr>
          <w:rFonts w:hint="eastAsia" w:ascii="仿宋" w:hAnsi="仿宋" w:eastAsia="仿宋"/>
          <w:szCs w:val="32"/>
        </w:rPr>
        <w:t>图二：实际抽检类别情况</w:t>
      </w:r>
    </w:p>
    <w:p>
      <w:pPr>
        <w:jc w:val="center"/>
        <w:rPr>
          <w:rFonts w:hint="eastAsia" w:ascii="仿宋" w:hAnsi="仿宋" w:eastAsia="仿宋"/>
          <w:sz w:val="28"/>
          <w:szCs w:val="28"/>
        </w:rPr>
      </w:pPr>
      <w:bookmarkStart w:id="77" w:name="_1701452163"/>
      <w:bookmarkEnd w:id="77"/>
      <w:r>
        <w:rPr>
          <w:rFonts w:hint="eastAsia" w:ascii="仿宋" w:hAnsi="仿宋" w:eastAsia="仿宋"/>
          <w:sz w:val="28"/>
          <w:szCs w:val="28"/>
        </w:rPr>
        <w:object>
          <v:shape id="_x0000_i1025" o:spt="75" type="#_x0000_t75" style="height:110.85pt;width:382.05pt;" o:ole="t" filled="f" o:preferrelative="t" stroked="f" coordsize="21600,21600">
            <v:path/>
            <v:fill on="f" focussize="0,0"/>
            <v:stroke on="f"/>
            <v:imagedata r:id="rId15" o:title=""/>
            <o:lock v:ext="edit" aspectratio="t"/>
            <w10:wrap type="none"/>
            <w10:anchorlock/>
          </v:shape>
          <o:OLEObject Type="Embed" ProgID="Excel.Chart.8" ShapeID="_x0000_i1025" DrawAspect="Content" ObjectID="_1468075725" r:id="rId14">
            <o:LockedField>false</o:LockedField>
          </o:OLEObject>
        </w:object>
      </w:r>
    </w:p>
    <w:p>
      <w:pPr>
        <w:spacing w:line="560" w:lineRule="exact"/>
        <w:ind w:firstLine="422" w:firstLineChars="200"/>
        <w:rPr>
          <w:rFonts w:hint="eastAsia" w:ascii="方正仿宋_GBK" w:hAnsi="方正仿宋_GBK" w:eastAsia="方正仿宋_GBK" w:cs="方正仿宋_GBK"/>
          <w:szCs w:val="32"/>
        </w:rPr>
      </w:pPr>
      <w:r>
        <w:rPr>
          <w:rFonts w:hint="eastAsia" w:ascii="方正仿宋_GBK" w:hAnsi="方正仿宋_GBK" w:eastAsia="方正仿宋_GBK" w:cs="方正仿宋_GBK"/>
          <w:b/>
          <w:bCs/>
          <w:szCs w:val="32"/>
          <w:shd w:val="clear" w:color="auto" w:fill="FFFFFF"/>
        </w:rPr>
        <w:t>（2）2022年省级药品监督抽验完成情况。</w:t>
      </w:r>
      <w:r>
        <w:rPr>
          <w:rFonts w:hint="eastAsia" w:ascii="方正仿宋_GBK" w:hAnsi="方正仿宋_GBK" w:eastAsia="方正仿宋_GBK" w:cs="方正仿宋_GBK"/>
          <w:szCs w:val="32"/>
        </w:rPr>
        <w:t>2022年，按照省药品抽检计划任务，我市省级药品抽样任务232批次、应检验药品232批次，重点品种专项抽检12批次（代抽，以下不统计）。2022年10月底已完成抽样任务，11月20日前完成了检验任务。</w:t>
      </w:r>
    </w:p>
    <w:p>
      <w:pPr>
        <w:spacing w:line="560" w:lineRule="exact"/>
        <w:ind w:firstLine="420" w:firstLineChars="200"/>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巴中市全年共完成省级按计划组织的药品抽检232批次、191个品种、182个被抽样单位，其中生产环节7批次，批发企业、零售连锁总部环节65批次。药品零售和使用环节160批次，其中县以下102批次，县以下覆盖率为63.75%。总共检验药品232批次，全检229批次，占总检验批次的98.71%；部分检验3批次，占总检验批次的1.29%。检出不合格药品共计1批次（涉及1个品种， 1个被抽样单位），抽检总不合格率为0.43%。其中国家基本药物检出1批次不合格，不合格率为1%。</w:t>
      </w:r>
    </w:p>
    <w:p>
      <w:pPr>
        <w:spacing w:line="560" w:lineRule="exact"/>
        <w:ind w:firstLine="420" w:firstLineChars="200"/>
        <w:rPr>
          <w:rFonts w:ascii="宋体" w:hAnsi="宋体" w:cs="宋体"/>
          <w:szCs w:val="32"/>
        </w:rPr>
      </w:pPr>
      <w:r>
        <w:rPr>
          <w:rFonts w:hint="eastAsia" w:ascii="方正仿宋_GBK" w:hAnsi="方正仿宋_GBK" w:eastAsia="方正仿宋_GBK" w:cs="方正仿宋_GBK"/>
          <w:szCs w:val="32"/>
        </w:rPr>
        <w:t>巴中市省级药品抽检批次及分布见图1，巴中市药品省计划</w:t>
      </w:r>
      <w:r>
        <w:rPr>
          <w:rFonts w:hint="eastAsia" w:ascii="方正仿宋_GBK" w:hAnsi="方正仿宋_GBK" w:eastAsia="方正仿宋_GBK" w:cs="方正仿宋_GBK"/>
          <w:szCs w:val="32"/>
          <w:lang w:eastAsia="zh-CN"/>
        </w:rPr>
        <w:t>抽检</w:t>
      </w:r>
      <w:r>
        <w:rPr>
          <w:rFonts w:hint="eastAsia" w:ascii="方正仿宋_GBK" w:hAnsi="方正仿宋_GBK" w:eastAsia="方正仿宋_GBK" w:cs="方正仿宋_GBK"/>
          <w:szCs w:val="32"/>
        </w:rPr>
        <w:t>环节批次分布见表1，药品省计划抽样批次及地点分布见图2，</w:t>
      </w:r>
      <w:r>
        <w:rPr>
          <w:rFonts w:hint="eastAsia" w:ascii="宋体" w:hAnsi="宋体" w:cs="宋体"/>
          <w:szCs w:val="32"/>
        </w:rPr>
        <w:t>省级药品计划抽检不合格批次分布见表2。</w:t>
      </w:r>
    </w:p>
    <w:p>
      <w:pPr>
        <w:ind w:left="640" w:hanging="420" w:hangingChars="200"/>
        <w:jc w:val="center"/>
        <w:rPr>
          <w:rFonts w:ascii="宋体" w:hAnsi="宋体" w:cs="宋体"/>
          <w:sz w:val="28"/>
          <w:szCs w:val="28"/>
        </w:rPr>
      </w:pPr>
      <w:r>
        <w:rPr>
          <w:rFonts w:ascii="宋体" w:hAnsi="宋体" w:cs="宋体"/>
          <w:szCs w:val="28"/>
        </w:rPr>
        <w:object>
          <v:shape id="_x0000_i1026" o:spt="75" type="#_x0000_t75" style="height:189.6pt;width:537.1pt;" o:ole="t" filled="f" o:preferrelative="t" stroked="f" coordsize="21600,21600">
            <v:path/>
            <v:fill on="f" focussize="0,0"/>
            <v:stroke on="f"/>
            <v:imagedata r:id="rId17" cropbottom="-168f" o:title=""/>
            <o:lock v:ext="edit" aspectratio="f"/>
            <w10:wrap type="none"/>
            <w10:anchorlock/>
          </v:shape>
          <o:OLEObject Type="Embed" ProgID="Excel.Chart.8" ShapeID="_x0000_i1026" DrawAspect="Content" ObjectID="_1468075726" r:id="rId16">
            <o:LockedField>false</o:LockedField>
          </o:OLEObject>
        </w:object>
      </w:r>
      <w:r>
        <w:rPr>
          <w:rFonts w:hint="eastAsia" w:ascii="宋体" w:hAnsi="宋体" w:cs="宋体"/>
          <w:sz w:val="28"/>
          <w:szCs w:val="28"/>
        </w:rPr>
        <w:t>图1 巴中市省级药品抽检批次分布</w:t>
      </w:r>
    </w:p>
    <w:p>
      <w:pPr>
        <w:spacing w:line="560" w:lineRule="exact"/>
        <w:ind w:firstLine="560" w:firstLineChars="200"/>
        <w:jc w:val="center"/>
        <w:rPr>
          <w:rFonts w:ascii="宋体" w:hAnsi="宋体" w:cs="宋体"/>
          <w:sz w:val="28"/>
          <w:szCs w:val="28"/>
        </w:rPr>
      </w:pPr>
      <w:r>
        <w:rPr>
          <w:rFonts w:hint="eastAsia" w:ascii="宋体" w:hAnsi="宋体" w:cs="宋体"/>
          <w:sz w:val="28"/>
          <w:szCs w:val="28"/>
        </w:rPr>
        <w:t>表1 巴中市省级药品抽检批次及地点性质</w:t>
      </w:r>
    </w:p>
    <w:tbl>
      <w:tblPr>
        <w:tblStyle w:val="14"/>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13"/>
        <w:gridCol w:w="1323"/>
        <w:gridCol w:w="1212"/>
        <w:gridCol w:w="966"/>
        <w:gridCol w:w="2603"/>
        <w:gridCol w:w="13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4" w:hRule="atLeast"/>
        </w:trPr>
        <w:tc>
          <w:tcPr>
            <w:tcW w:w="653" w:type="pct"/>
            <w:noWrap w:val="0"/>
            <w:vAlign w:val="center"/>
          </w:tcPr>
          <w:p>
            <w:pPr>
              <w:tabs>
                <w:tab w:val="center" w:pos="4153"/>
                <w:tab w:val="right" w:pos="8306"/>
              </w:tabs>
              <w:snapToGrid w:val="0"/>
              <w:spacing w:line="56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抽样地点</w:t>
            </w:r>
          </w:p>
        </w:tc>
        <w:tc>
          <w:tcPr>
            <w:tcW w:w="776" w:type="pct"/>
            <w:noWrap w:val="0"/>
            <w:vAlign w:val="center"/>
          </w:tcPr>
          <w:p>
            <w:pPr>
              <w:tabs>
                <w:tab w:val="center" w:pos="4153"/>
                <w:tab w:val="right" w:pos="8306"/>
              </w:tabs>
              <w:snapToGrid w:val="0"/>
              <w:spacing w:line="56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个体诊所</w:t>
            </w:r>
          </w:p>
        </w:tc>
        <w:tc>
          <w:tcPr>
            <w:tcW w:w="711" w:type="pct"/>
            <w:noWrap w:val="0"/>
            <w:vAlign w:val="center"/>
          </w:tcPr>
          <w:p>
            <w:pPr>
              <w:tabs>
                <w:tab w:val="center" w:pos="4153"/>
                <w:tab w:val="right" w:pos="8306"/>
              </w:tabs>
              <w:snapToGrid w:val="0"/>
              <w:spacing w:line="56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医疗机构</w:t>
            </w:r>
          </w:p>
        </w:tc>
        <w:tc>
          <w:tcPr>
            <w:tcW w:w="567" w:type="pct"/>
            <w:noWrap w:val="0"/>
            <w:vAlign w:val="center"/>
          </w:tcPr>
          <w:p>
            <w:pPr>
              <w:tabs>
                <w:tab w:val="center" w:pos="4153"/>
                <w:tab w:val="right" w:pos="8306"/>
              </w:tabs>
              <w:snapToGrid w:val="0"/>
              <w:spacing w:line="56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连锁药店</w:t>
            </w:r>
          </w:p>
        </w:tc>
        <w:tc>
          <w:tcPr>
            <w:tcW w:w="1527" w:type="pct"/>
            <w:noWrap w:val="0"/>
            <w:vAlign w:val="center"/>
          </w:tcPr>
          <w:p>
            <w:pPr>
              <w:tabs>
                <w:tab w:val="center" w:pos="4153"/>
                <w:tab w:val="right" w:pos="8306"/>
              </w:tabs>
              <w:snapToGrid w:val="0"/>
              <w:spacing w:line="56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批发企业和零售连锁总部</w:t>
            </w:r>
          </w:p>
        </w:tc>
        <w:tc>
          <w:tcPr>
            <w:tcW w:w="763" w:type="pct"/>
            <w:noWrap w:val="0"/>
            <w:vAlign w:val="center"/>
          </w:tcPr>
          <w:p>
            <w:pPr>
              <w:tabs>
                <w:tab w:val="center" w:pos="4153"/>
                <w:tab w:val="right" w:pos="8306"/>
              </w:tabs>
              <w:snapToGrid w:val="0"/>
              <w:spacing w:line="56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药品上市持有人或生产单位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1" w:hRule="atLeast"/>
        </w:trPr>
        <w:tc>
          <w:tcPr>
            <w:tcW w:w="653" w:type="pct"/>
            <w:noWrap w:val="0"/>
            <w:vAlign w:val="center"/>
          </w:tcPr>
          <w:p>
            <w:pPr>
              <w:tabs>
                <w:tab w:val="center" w:pos="4153"/>
                <w:tab w:val="right" w:pos="8306"/>
              </w:tabs>
              <w:snapToGrid w:val="0"/>
              <w:spacing w:line="56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批次</w:t>
            </w:r>
          </w:p>
        </w:tc>
        <w:tc>
          <w:tcPr>
            <w:tcW w:w="776" w:type="pct"/>
            <w:noWrap w:val="0"/>
            <w:vAlign w:val="center"/>
          </w:tcPr>
          <w:p>
            <w:pPr>
              <w:tabs>
                <w:tab w:val="center" w:pos="4153"/>
                <w:tab w:val="right" w:pos="8306"/>
              </w:tabs>
              <w:snapToGrid w:val="0"/>
              <w:spacing w:line="56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21</w:t>
            </w:r>
          </w:p>
        </w:tc>
        <w:tc>
          <w:tcPr>
            <w:tcW w:w="711" w:type="pct"/>
            <w:noWrap w:val="0"/>
            <w:vAlign w:val="center"/>
          </w:tcPr>
          <w:p>
            <w:pPr>
              <w:tabs>
                <w:tab w:val="center" w:pos="4153"/>
                <w:tab w:val="right" w:pos="8306"/>
              </w:tabs>
              <w:snapToGrid w:val="0"/>
              <w:spacing w:line="56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48</w:t>
            </w:r>
          </w:p>
        </w:tc>
        <w:tc>
          <w:tcPr>
            <w:tcW w:w="567" w:type="pct"/>
            <w:noWrap w:val="0"/>
            <w:vAlign w:val="center"/>
          </w:tcPr>
          <w:p>
            <w:pPr>
              <w:tabs>
                <w:tab w:val="center" w:pos="4153"/>
                <w:tab w:val="right" w:pos="8306"/>
              </w:tabs>
              <w:snapToGrid w:val="0"/>
              <w:spacing w:line="56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91</w:t>
            </w:r>
          </w:p>
        </w:tc>
        <w:tc>
          <w:tcPr>
            <w:tcW w:w="1527" w:type="pct"/>
            <w:noWrap w:val="0"/>
            <w:vAlign w:val="center"/>
          </w:tcPr>
          <w:p>
            <w:pPr>
              <w:tabs>
                <w:tab w:val="center" w:pos="4153"/>
                <w:tab w:val="right" w:pos="8306"/>
              </w:tabs>
              <w:snapToGrid w:val="0"/>
              <w:spacing w:line="56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65</w:t>
            </w:r>
          </w:p>
        </w:tc>
        <w:tc>
          <w:tcPr>
            <w:tcW w:w="763" w:type="pct"/>
            <w:noWrap w:val="0"/>
            <w:vAlign w:val="center"/>
          </w:tcPr>
          <w:p>
            <w:pPr>
              <w:tabs>
                <w:tab w:val="center" w:pos="4153"/>
                <w:tab w:val="right" w:pos="8306"/>
              </w:tabs>
              <w:snapToGrid w:val="0"/>
              <w:spacing w:line="56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7</w:t>
            </w:r>
          </w:p>
        </w:tc>
      </w:tr>
    </w:tbl>
    <w:p>
      <w:pPr>
        <w:ind w:left="559" w:leftChars="266"/>
        <w:jc w:val="center"/>
        <w:rPr>
          <w:rFonts w:ascii="宋体" w:hAnsi="宋体" w:cs="宋体"/>
          <w:sz w:val="28"/>
          <w:szCs w:val="28"/>
        </w:rPr>
      </w:pPr>
      <w:r>
        <w:rPr>
          <w:rFonts w:hint="eastAsia" w:ascii="宋体" w:hAnsi="宋体" w:cs="宋体"/>
          <w:sz w:val="28"/>
          <w:szCs w:val="28"/>
        </w:rPr>
        <w:t>图2  药品省计划抽样批次及地点分布</w:t>
      </w:r>
    </w:p>
    <w:p>
      <w:pPr>
        <w:jc w:val="left"/>
      </w:pPr>
      <w:r>
        <w:rPr>
          <w:rFonts w:ascii="宋体" w:hAnsi="宋体" w:cs="宋体"/>
          <w:sz w:val="28"/>
          <w:szCs w:val="28"/>
        </w:rPr>
        <w:object>
          <v:shape id="_x0000_i1027" o:spt="75" type="#_x0000_t75" style="height:206.25pt;width:453.9pt;" o:ole="t" filled="f" o:preferrelative="t" stroked="f" coordsize="21600,21600">
            <v:path/>
            <v:fill on="f" focussize="0,0"/>
            <v:stroke on="f"/>
            <v:imagedata r:id="rId19" cropleft="-2393f" cropright="-3188f" cropbottom="-126f" o:title=""/>
            <o:lock v:ext="edit" aspectratio="f"/>
            <w10:wrap type="none"/>
            <w10:anchorlock/>
          </v:shape>
          <o:OLEObject Type="Embed" ProgID="Excel.Chart.8" ShapeID="_x0000_i1027" DrawAspect="Content" ObjectID="_1468075727" r:id="rId18">
            <o:LockedField>false</o:LockedField>
          </o:OLEObject>
        </w:object>
      </w:r>
    </w:p>
    <w:p>
      <w:pPr>
        <w:spacing w:line="560" w:lineRule="exact"/>
        <w:jc w:val="center"/>
        <w:rPr>
          <w:rFonts w:ascii="宋体" w:hAnsi="宋体" w:cs="宋体"/>
          <w:szCs w:val="32"/>
        </w:rPr>
      </w:pPr>
      <w:r>
        <w:rPr>
          <w:rFonts w:hint="eastAsia" w:ascii="宋体" w:hAnsi="宋体" w:cs="宋体"/>
          <w:szCs w:val="32"/>
        </w:rPr>
        <w:t>表2药品省计划抽样不合格批次分布表</w:t>
      </w:r>
    </w:p>
    <w:tbl>
      <w:tblPr>
        <w:tblStyle w:val="14"/>
        <w:tblW w:w="8583" w:type="dxa"/>
        <w:tblInd w:w="1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68"/>
        <w:gridCol w:w="1230"/>
        <w:gridCol w:w="1275"/>
        <w:gridCol w:w="1425"/>
        <w:gridCol w:w="1080"/>
        <w:gridCol w:w="1035"/>
        <w:gridCol w:w="11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5" w:hRule="atLeast"/>
        </w:trPr>
        <w:tc>
          <w:tcPr>
            <w:tcW w:w="1368"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类别</w:t>
            </w:r>
          </w:p>
          <w:p>
            <w:pPr>
              <w:tabs>
                <w:tab w:val="center" w:pos="4153"/>
                <w:tab w:val="right" w:pos="8306"/>
              </w:tabs>
              <w:snapToGrid w:val="0"/>
              <w:spacing w:line="240" w:lineRule="exact"/>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不合格批次</w:t>
            </w:r>
          </w:p>
          <w:p>
            <w:pPr>
              <w:tabs>
                <w:tab w:val="center" w:pos="4153"/>
                <w:tab w:val="right" w:pos="8306"/>
              </w:tabs>
              <w:snapToGrid w:val="0"/>
              <w:spacing w:line="240" w:lineRule="exact"/>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区县</w:t>
            </w:r>
          </w:p>
        </w:tc>
        <w:tc>
          <w:tcPr>
            <w:tcW w:w="1230"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兴文经济技术开发区</w:t>
            </w:r>
          </w:p>
        </w:tc>
        <w:tc>
          <w:tcPr>
            <w:tcW w:w="1275"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南江县</w:t>
            </w:r>
          </w:p>
        </w:tc>
        <w:tc>
          <w:tcPr>
            <w:tcW w:w="1425"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通江县</w:t>
            </w:r>
          </w:p>
        </w:tc>
        <w:tc>
          <w:tcPr>
            <w:tcW w:w="1080"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恩阳区</w:t>
            </w:r>
          </w:p>
        </w:tc>
        <w:tc>
          <w:tcPr>
            <w:tcW w:w="1035"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巴州区</w:t>
            </w:r>
          </w:p>
        </w:tc>
        <w:tc>
          <w:tcPr>
            <w:tcW w:w="1170"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平昌县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3" w:hRule="atLeast"/>
        </w:trPr>
        <w:tc>
          <w:tcPr>
            <w:tcW w:w="1368"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药品上市许可持有人或生产单位</w:t>
            </w:r>
          </w:p>
        </w:tc>
        <w:tc>
          <w:tcPr>
            <w:tcW w:w="1230"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275"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425"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080"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035"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170"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7" w:hRule="atLeast"/>
        </w:trPr>
        <w:tc>
          <w:tcPr>
            <w:tcW w:w="1368"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零售企业</w:t>
            </w:r>
          </w:p>
        </w:tc>
        <w:tc>
          <w:tcPr>
            <w:tcW w:w="1230"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275"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425"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080"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035"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170"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7" w:hRule="atLeast"/>
        </w:trPr>
        <w:tc>
          <w:tcPr>
            <w:tcW w:w="1368"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连锁药店</w:t>
            </w:r>
          </w:p>
        </w:tc>
        <w:tc>
          <w:tcPr>
            <w:tcW w:w="1230"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275"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425"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080"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035"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170"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7" w:hRule="atLeast"/>
        </w:trPr>
        <w:tc>
          <w:tcPr>
            <w:tcW w:w="1368"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个体诊所</w:t>
            </w:r>
          </w:p>
        </w:tc>
        <w:tc>
          <w:tcPr>
            <w:tcW w:w="1230"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275"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425"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080"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035"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170"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1368"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医疗机构</w:t>
            </w:r>
          </w:p>
        </w:tc>
        <w:tc>
          <w:tcPr>
            <w:tcW w:w="1230"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w:t>
            </w:r>
          </w:p>
        </w:tc>
        <w:tc>
          <w:tcPr>
            <w:tcW w:w="1275"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425"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080"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035"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170"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trPr>
        <w:tc>
          <w:tcPr>
            <w:tcW w:w="1368"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合计</w:t>
            </w:r>
          </w:p>
        </w:tc>
        <w:tc>
          <w:tcPr>
            <w:tcW w:w="1230"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w:t>
            </w:r>
          </w:p>
        </w:tc>
        <w:tc>
          <w:tcPr>
            <w:tcW w:w="1275"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425"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080"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035"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c>
          <w:tcPr>
            <w:tcW w:w="1170" w:type="dxa"/>
            <w:noWrap w:val="0"/>
            <w:vAlign w:val="center"/>
          </w:tcPr>
          <w:p>
            <w:pPr>
              <w:tabs>
                <w:tab w:val="center" w:pos="4153"/>
                <w:tab w:val="right" w:pos="8306"/>
              </w:tabs>
              <w:snapToGrid w:val="0"/>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w:t>
            </w:r>
          </w:p>
        </w:tc>
      </w:tr>
    </w:tbl>
    <w:p>
      <w:pPr>
        <w:spacing w:line="560" w:lineRule="exact"/>
        <w:rPr>
          <w:rFonts w:ascii="宋体" w:hAnsi="宋体" w:cs="宋体"/>
          <w:szCs w:val="32"/>
        </w:rPr>
      </w:pPr>
      <w:r>
        <w:rPr>
          <w:rFonts w:hint="eastAsia" w:ascii="宋体" w:hAnsi="宋体" w:cs="宋体"/>
          <w:szCs w:val="32"/>
        </w:rPr>
        <w:t>分项检验结果与分析</w:t>
      </w:r>
    </w:p>
    <w:tbl>
      <w:tblPr>
        <w:tblStyle w:val="14"/>
        <w:tblpPr w:leftFromText="180" w:rightFromText="180" w:vertAnchor="text" w:horzAnchor="page" w:tblpX="1711" w:tblpY="573"/>
        <w:tblOverlap w:val="never"/>
        <w:tblW w:w="8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1276"/>
        <w:gridCol w:w="1984"/>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检验项目</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总批次</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不合格批次</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项目合格率（%）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性状</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230</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鉴别</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216</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重（装）量差异</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162</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含量测定</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179</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水分</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116</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1</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崩解时限</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75</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微生物限度</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154</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PH</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15</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粒度</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57</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溶化性</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55</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溶出度</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29</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杂质</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3</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总灰分</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13</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特征图谱</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4</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有关物质</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20</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浸出物</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24</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不溶性微粒</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2</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无菌</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5</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可见异物</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3</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相对密度</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12</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含量均匀度</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9</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细菌内毒素</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2</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分散均匀性</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2</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制酸力</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3</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干燥失重</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10</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溶散时限</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12</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重金属</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7</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镁盐铝盐</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显微特征</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52</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化学反应</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78</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有害元素</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1</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薄层色谱</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157</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液相色谱</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210</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紫外吸收</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15</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其它项目</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46</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二氧化硫残留量</w:t>
            </w:r>
          </w:p>
        </w:tc>
        <w:tc>
          <w:tcPr>
            <w:tcW w:w="1276"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1</w:t>
            </w:r>
          </w:p>
        </w:tc>
        <w:tc>
          <w:tcPr>
            <w:tcW w:w="1984"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c>
          <w:tcPr>
            <w:tcW w:w="2842" w:type="dxa"/>
            <w:noWrap w:val="0"/>
            <w:vAlign w:val="center"/>
          </w:tcPr>
          <w:p>
            <w:pPr>
              <w:spacing w:line="560" w:lineRule="exact"/>
              <w:jc w:val="center"/>
              <w:rPr>
                <w:rFonts w:ascii="宋体" w:hAnsi="宋体" w:cs="宋体"/>
                <w:sz w:val="28"/>
                <w:szCs w:val="28"/>
              </w:rPr>
            </w:pPr>
            <w:r>
              <w:rPr>
                <w:rFonts w:hint="eastAsia" w:ascii="宋体" w:hAnsi="宋体" w:cs="宋体"/>
                <w:sz w:val="28"/>
                <w:szCs w:val="28"/>
              </w:rPr>
              <w:t>0%</w:t>
            </w:r>
          </w:p>
        </w:tc>
      </w:tr>
    </w:tbl>
    <w:p>
      <w:pPr>
        <w:spacing w:line="560" w:lineRule="exact"/>
        <w:jc w:val="center"/>
        <w:rPr>
          <w:rFonts w:ascii="宋体" w:hAnsi="宋体" w:cs="宋体"/>
          <w:b/>
          <w:szCs w:val="32"/>
        </w:rPr>
      </w:pPr>
    </w:p>
    <w:p>
      <w:pPr>
        <w:spacing w:line="560" w:lineRule="exact"/>
        <w:ind w:firstLine="720"/>
        <w:rPr>
          <w:rFonts w:ascii="方正黑体_GBK" w:eastAsia="方正黑体_GBK"/>
          <w:szCs w:val="32"/>
          <w:shd w:val="clear" w:color="auto" w:fill="FFFFFF"/>
        </w:rPr>
      </w:pPr>
      <w:r>
        <w:rPr>
          <w:rFonts w:ascii="方正黑体_GBK" w:eastAsia="方正黑体_GBK"/>
          <w:szCs w:val="32"/>
          <w:shd w:val="clear" w:color="auto" w:fill="FFFFFF"/>
        </w:rPr>
        <w:t>四、评价结论</w:t>
      </w:r>
    </w:p>
    <w:p>
      <w:pPr>
        <w:spacing w:line="560" w:lineRule="exact"/>
        <w:ind w:firstLine="420" w:firstLineChars="200"/>
        <w:rPr>
          <w:rFonts w:eastAsia="方正仿宋_GBK"/>
          <w:szCs w:val="32"/>
          <w:shd w:val="clear" w:color="auto" w:fill="FFFFFF"/>
          <w:lang w:val="zh-CN"/>
        </w:rPr>
      </w:pPr>
      <w:r>
        <w:rPr>
          <w:rFonts w:hint="eastAsia" w:ascii="仿宋_GB2312" w:hAnsi="华文仿宋" w:cs="宋体"/>
          <w:szCs w:val="32"/>
          <w:shd w:val="clear" w:color="auto" w:fill="FFFFFF"/>
        </w:rPr>
        <w:t>市产品质量检验检测中心整</w:t>
      </w:r>
      <w:r>
        <w:rPr>
          <w:rFonts w:hint="eastAsia" w:ascii="仿宋_GB2312" w:hAnsi="华文仿宋" w:cs="宋体"/>
          <w:szCs w:val="32"/>
          <w:shd w:val="clear" w:color="auto" w:fill="FFFFFF"/>
          <w:lang w:val="zh-CN"/>
        </w:rPr>
        <w:t>体支出绩效评价指标体系总得分为</w:t>
      </w:r>
      <w:r>
        <w:rPr>
          <w:rFonts w:hint="eastAsia" w:ascii="仿宋_GB2312" w:hAnsi="华文仿宋" w:cs="宋体"/>
          <w:szCs w:val="32"/>
          <w:shd w:val="clear" w:color="auto" w:fill="FFFFFF"/>
        </w:rPr>
        <w:t>90</w:t>
      </w:r>
      <w:r>
        <w:rPr>
          <w:rFonts w:hint="eastAsia" w:ascii="仿宋_GB2312" w:hAnsi="华文仿宋" w:cs="宋体"/>
          <w:szCs w:val="32"/>
          <w:shd w:val="clear" w:color="auto" w:fill="FFFFFF"/>
          <w:lang w:val="zh-CN"/>
        </w:rPr>
        <w:t>分，主要扣分点在部分实施绩效评价项目覆盖率有待进一步提高，部分项目资金尚未支付，造成年末项目资金结转结余。</w:t>
      </w:r>
    </w:p>
    <w:p>
      <w:pPr>
        <w:spacing w:line="560" w:lineRule="exact"/>
        <w:ind w:firstLine="720"/>
        <w:rPr>
          <w:rFonts w:ascii="方正黑体_GBK" w:eastAsia="方正黑体_GBK"/>
          <w:szCs w:val="32"/>
          <w:shd w:val="clear" w:color="auto" w:fill="FFFFFF"/>
        </w:rPr>
      </w:pPr>
      <w:r>
        <w:rPr>
          <w:rFonts w:ascii="方正黑体_GBK" w:eastAsia="方正黑体_GBK"/>
          <w:szCs w:val="32"/>
          <w:shd w:val="clear" w:color="auto" w:fill="FFFFFF"/>
        </w:rPr>
        <w:t>五、存在的问题及建议</w:t>
      </w:r>
    </w:p>
    <w:p>
      <w:pPr>
        <w:spacing w:line="560" w:lineRule="exact"/>
        <w:ind w:firstLine="720"/>
        <w:rPr>
          <w:rFonts w:hint="eastAsia" w:ascii="方正楷体_GBK" w:eastAsia="方正楷体_GBK"/>
          <w:b/>
          <w:bCs/>
          <w:szCs w:val="32"/>
          <w:shd w:val="clear" w:color="auto" w:fill="FFFFFF"/>
          <w:lang w:val="zh-CN"/>
        </w:rPr>
      </w:pPr>
      <w:r>
        <w:rPr>
          <w:rFonts w:hint="eastAsia" w:ascii="方正楷体_GBK" w:eastAsia="方正楷体_GBK"/>
          <w:b/>
          <w:bCs/>
          <w:szCs w:val="32"/>
          <w:shd w:val="clear" w:color="auto" w:fill="FFFFFF"/>
          <w:lang w:val="zh-CN"/>
        </w:rPr>
        <w:t>（一）存在问题</w:t>
      </w:r>
    </w:p>
    <w:p>
      <w:pPr>
        <w:spacing w:line="560" w:lineRule="exact"/>
        <w:ind w:firstLine="420" w:firstLineChars="200"/>
        <w:rPr>
          <w:rFonts w:hint="eastAsia" w:ascii="方正楷体_GBK" w:eastAsia="方正楷体_GBK"/>
          <w:szCs w:val="32"/>
          <w:shd w:val="clear" w:color="auto" w:fill="FFFFFF"/>
          <w:lang w:val="zh-CN"/>
        </w:rPr>
      </w:pPr>
      <w:r>
        <w:rPr>
          <w:rFonts w:hint="eastAsia" w:ascii="仿宋_GB2312" w:hAnsi="华文仿宋" w:cs="宋体"/>
          <w:szCs w:val="32"/>
          <w:shd w:val="clear" w:color="auto" w:fill="FFFFFF"/>
        </w:rPr>
        <w:t>一是</w:t>
      </w:r>
      <w:r>
        <w:rPr>
          <w:rFonts w:hint="eastAsia" w:ascii="仿宋_GB2312" w:hAnsi="华文仿宋" w:cs="宋体"/>
          <w:szCs w:val="32"/>
          <w:shd w:val="clear" w:color="auto" w:fill="FFFFFF"/>
          <w:lang w:val="zh-CN"/>
        </w:rPr>
        <w:t>绩效</w:t>
      </w:r>
      <w:r>
        <w:rPr>
          <w:rFonts w:hint="eastAsia" w:ascii="仿宋_GB2312" w:hAnsi="华文仿宋" w:cs="宋体"/>
          <w:szCs w:val="32"/>
          <w:shd w:val="clear" w:color="auto" w:fill="FFFFFF"/>
        </w:rPr>
        <w:t>目标</w:t>
      </w:r>
      <w:r>
        <w:rPr>
          <w:rFonts w:hint="eastAsia" w:ascii="仿宋_GB2312" w:hAnsi="华文仿宋" w:cs="宋体"/>
          <w:szCs w:val="32"/>
          <w:shd w:val="clear" w:color="auto" w:fill="FFFFFF"/>
          <w:lang w:val="zh-CN"/>
        </w:rPr>
        <w:t>编制还有待进一步细化；</w:t>
      </w:r>
      <w:r>
        <w:rPr>
          <w:rFonts w:hint="eastAsia" w:ascii="仿宋_GB2312" w:hAnsi="华文仿宋" w:cs="宋体"/>
          <w:szCs w:val="32"/>
          <w:shd w:val="clear" w:color="auto" w:fill="FFFFFF"/>
        </w:rPr>
        <w:t>二是</w:t>
      </w:r>
      <w:r>
        <w:rPr>
          <w:rFonts w:hint="eastAsia" w:ascii="仿宋_GB2312" w:hAnsi="华文仿宋" w:cs="宋体"/>
          <w:szCs w:val="32"/>
          <w:shd w:val="clear" w:color="auto" w:fill="FFFFFF"/>
          <w:lang w:val="zh-CN"/>
        </w:rPr>
        <w:t>个别支付进度安排不够合理，支付进度较慢。</w:t>
      </w:r>
    </w:p>
    <w:p>
      <w:pPr>
        <w:spacing w:line="560" w:lineRule="exact"/>
        <w:ind w:firstLine="720"/>
        <w:rPr>
          <w:rFonts w:ascii="方正楷体_GBK" w:eastAsia="方正楷体_GBK"/>
          <w:b/>
          <w:bCs/>
          <w:szCs w:val="32"/>
          <w:shd w:val="clear" w:color="auto" w:fill="FFFFFF"/>
          <w:lang w:val="zh-CN"/>
        </w:rPr>
      </w:pPr>
      <w:r>
        <w:rPr>
          <w:rFonts w:ascii="方正楷体_GBK" w:eastAsia="方正楷体_GBK"/>
          <w:b/>
          <w:bCs/>
          <w:szCs w:val="32"/>
          <w:shd w:val="clear" w:color="auto" w:fill="FFFFFF"/>
          <w:lang w:val="zh-CN"/>
        </w:rPr>
        <w:t>（二）改进建议</w:t>
      </w:r>
    </w:p>
    <w:tbl>
      <w:tblPr>
        <w:tblStyle w:val="14"/>
        <w:tblpPr w:leftFromText="180" w:rightFromText="180" w:vertAnchor="text" w:horzAnchor="page" w:tblpX="1855" w:tblpY="557"/>
        <w:tblOverlap w:val="never"/>
        <w:tblW w:w="9060" w:type="dxa"/>
        <w:tblInd w:w="0" w:type="dxa"/>
        <w:tblLayout w:type="autofit"/>
        <w:tblCellMar>
          <w:top w:w="0" w:type="dxa"/>
          <w:left w:w="108" w:type="dxa"/>
          <w:bottom w:w="0" w:type="dxa"/>
          <w:right w:w="108" w:type="dxa"/>
        </w:tblCellMar>
      </w:tblPr>
      <w:tblGrid>
        <w:gridCol w:w="621"/>
        <w:gridCol w:w="579"/>
        <w:gridCol w:w="540"/>
        <w:gridCol w:w="540"/>
        <w:gridCol w:w="2910"/>
        <w:gridCol w:w="3289"/>
        <w:gridCol w:w="581"/>
      </w:tblGrid>
      <w:tr>
        <w:tblPrEx>
          <w:tblCellMar>
            <w:top w:w="0" w:type="dxa"/>
            <w:left w:w="108" w:type="dxa"/>
            <w:bottom w:w="0" w:type="dxa"/>
            <w:right w:w="108" w:type="dxa"/>
          </w:tblCellMar>
        </w:tblPrEx>
        <w:trPr>
          <w:trHeight w:val="450" w:hRule="atLeast"/>
        </w:trPr>
        <w:tc>
          <w:tcPr>
            <w:tcW w:w="9060" w:type="dxa"/>
            <w:gridSpan w:val="7"/>
            <w:tcBorders>
              <w:top w:val="nil"/>
              <w:left w:val="nil"/>
              <w:bottom w:val="nil"/>
              <w:right w:val="nil"/>
            </w:tcBorders>
            <w:noWrap/>
            <w:vAlign w:val="center"/>
          </w:tcPr>
          <w:p>
            <w:pPr>
              <w:widowControl/>
              <w:spacing w:line="560" w:lineRule="exact"/>
              <w:jc w:val="center"/>
              <w:rPr>
                <w:rFonts w:ascii="黑体" w:hAnsi="黑体" w:eastAsia="黑体" w:cs="Tahoma"/>
                <w:kern w:val="0"/>
                <w:sz w:val="36"/>
                <w:szCs w:val="36"/>
              </w:rPr>
            </w:pPr>
            <w:r>
              <w:rPr>
                <w:rFonts w:hint="eastAsia" w:ascii="黑体" w:hAnsi="黑体" w:eastAsia="黑体" w:cs="Tahoma"/>
                <w:kern w:val="0"/>
                <w:sz w:val="36"/>
                <w:szCs w:val="36"/>
              </w:rPr>
              <w:t>2022年市级部门整体支出绩效评价指标体系</w:t>
            </w:r>
          </w:p>
        </w:tc>
      </w:tr>
      <w:tr>
        <w:tblPrEx>
          <w:tblCellMar>
            <w:top w:w="0" w:type="dxa"/>
            <w:left w:w="108" w:type="dxa"/>
            <w:bottom w:w="0" w:type="dxa"/>
            <w:right w:w="108" w:type="dxa"/>
          </w:tblCellMar>
        </w:tblPrEx>
        <w:trPr>
          <w:trHeight w:val="450" w:hRule="atLeast"/>
        </w:trPr>
        <w:tc>
          <w:tcPr>
            <w:tcW w:w="621" w:type="dxa"/>
            <w:tcBorders>
              <w:top w:val="single" w:color="auto" w:sz="4" w:space="0"/>
              <w:left w:val="single" w:color="auto" w:sz="4" w:space="0"/>
              <w:bottom w:val="single" w:color="auto" w:sz="4" w:space="0"/>
              <w:right w:val="single" w:color="auto" w:sz="4" w:space="0"/>
            </w:tcBorders>
            <w:noWrap w:val="0"/>
            <w:vAlign w:val="center"/>
          </w:tcPr>
          <w:p>
            <w:pPr>
              <w:widowControl/>
              <w:spacing w:line="560" w:lineRule="exact"/>
              <w:jc w:val="center"/>
              <w:rPr>
                <w:rFonts w:ascii="方正仿宋简体" w:hAnsi="Tahoma" w:eastAsia="方正仿宋简体" w:cs="Tahoma"/>
                <w:b/>
                <w:bCs/>
                <w:kern w:val="0"/>
                <w:sz w:val="18"/>
                <w:szCs w:val="18"/>
              </w:rPr>
            </w:pPr>
            <w:r>
              <w:rPr>
                <w:rFonts w:hint="eastAsia" w:ascii="方正仿宋简体" w:hAnsi="Tahoma" w:eastAsia="方正仿宋简体" w:cs="Tahoma"/>
                <w:b/>
                <w:bCs/>
                <w:kern w:val="0"/>
                <w:sz w:val="18"/>
                <w:szCs w:val="18"/>
              </w:rPr>
              <w:t>一级指标</w:t>
            </w:r>
          </w:p>
        </w:tc>
        <w:tc>
          <w:tcPr>
            <w:tcW w:w="579" w:type="dxa"/>
            <w:tcBorders>
              <w:top w:val="single" w:color="auto" w:sz="4" w:space="0"/>
              <w:left w:val="nil"/>
              <w:bottom w:val="single" w:color="auto" w:sz="4" w:space="0"/>
              <w:right w:val="single" w:color="auto" w:sz="4" w:space="0"/>
            </w:tcBorders>
            <w:noWrap w:val="0"/>
            <w:vAlign w:val="center"/>
          </w:tcPr>
          <w:p>
            <w:pPr>
              <w:widowControl/>
              <w:spacing w:line="560" w:lineRule="exact"/>
              <w:jc w:val="center"/>
              <w:rPr>
                <w:rFonts w:ascii="方正仿宋简体" w:hAnsi="Tahoma" w:eastAsia="方正仿宋简体" w:cs="Tahoma"/>
                <w:b/>
                <w:bCs/>
                <w:kern w:val="0"/>
                <w:sz w:val="18"/>
                <w:szCs w:val="18"/>
              </w:rPr>
            </w:pPr>
            <w:r>
              <w:rPr>
                <w:rFonts w:hint="eastAsia" w:ascii="方正仿宋简体" w:hAnsi="Tahoma" w:eastAsia="方正仿宋简体" w:cs="Tahoma"/>
                <w:b/>
                <w:bCs/>
                <w:kern w:val="0"/>
                <w:sz w:val="18"/>
                <w:szCs w:val="18"/>
              </w:rPr>
              <w:t>二级指标</w:t>
            </w:r>
          </w:p>
        </w:tc>
        <w:tc>
          <w:tcPr>
            <w:tcW w:w="540" w:type="dxa"/>
            <w:tcBorders>
              <w:top w:val="single" w:color="auto" w:sz="4" w:space="0"/>
              <w:left w:val="nil"/>
              <w:bottom w:val="single" w:color="auto" w:sz="4" w:space="0"/>
              <w:right w:val="single" w:color="auto" w:sz="4" w:space="0"/>
            </w:tcBorders>
            <w:noWrap w:val="0"/>
            <w:vAlign w:val="center"/>
          </w:tcPr>
          <w:p>
            <w:pPr>
              <w:widowControl/>
              <w:spacing w:line="560" w:lineRule="exact"/>
              <w:jc w:val="center"/>
              <w:rPr>
                <w:rFonts w:ascii="方正仿宋简体" w:hAnsi="Tahoma" w:eastAsia="方正仿宋简体" w:cs="Tahoma"/>
                <w:b/>
                <w:bCs/>
                <w:kern w:val="0"/>
                <w:sz w:val="18"/>
                <w:szCs w:val="18"/>
              </w:rPr>
            </w:pPr>
            <w:r>
              <w:rPr>
                <w:rFonts w:hint="eastAsia" w:ascii="方正仿宋简体" w:hAnsi="Tahoma" w:eastAsia="方正仿宋简体" w:cs="Tahoma"/>
                <w:b/>
                <w:bCs/>
                <w:kern w:val="0"/>
                <w:sz w:val="18"/>
                <w:szCs w:val="18"/>
              </w:rPr>
              <w:t>三级指标</w:t>
            </w:r>
          </w:p>
        </w:tc>
        <w:tc>
          <w:tcPr>
            <w:tcW w:w="540" w:type="dxa"/>
            <w:tcBorders>
              <w:top w:val="single" w:color="auto" w:sz="4" w:space="0"/>
              <w:left w:val="nil"/>
              <w:bottom w:val="single" w:color="auto" w:sz="4" w:space="0"/>
              <w:right w:val="single" w:color="auto" w:sz="4" w:space="0"/>
            </w:tcBorders>
            <w:noWrap w:val="0"/>
            <w:vAlign w:val="center"/>
          </w:tcPr>
          <w:p>
            <w:pPr>
              <w:widowControl/>
              <w:spacing w:line="560" w:lineRule="exact"/>
              <w:jc w:val="center"/>
              <w:rPr>
                <w:rFonts w:ascii="方正仿宋简体" w:hAnsi="Tahoma" w:eastAsia="方正仿宋简体" w:cs="Tahoma"/>
                <w:b/>
                <w:bCs/>
                <w:kern w:val="0"/>
                <w:sz w:val="18"/>
                <w:szCs w:val="18"/>
              </w:rPr>
            </w:pPr>
            <w:r>
              <w:rPr>
                <w:rFonts w:hint="eastAsia" w:ascii="方正仿宋简体" w:hAnsi="Tahoma" w:eastAsia="方正仿宋简体" w:cs="Tahoma"/>
                <w:b/>
                <w:bCs/>
                <w:kern w:val="0"/>
                <w:sz w:val="18"/>
                <w:szCs w:val="18"/>
              </w:rPr>
              <w:t>分值</w:t>
            </w:r>
          </w:p>
        </w:tc>
        <w:tc>
          <w:tcPr>
            <w:tcW w:w="2910" w:type="dxa"/>
            <w:tcBorders>
              <w:top w:val="single" w:color="auto" w:sz="4" w:space="0"/>
              <w:left w:val="nil"/>
              <w:bottom w:val="single" w:color="auto" w:sz="4" w:space="0"/>
              <w:right w:val="single" w:color="auto" w:sz="4" w:space="0"/>
            </w:tcBorders>
            <w:noWrap w:val="0"/>
            <w:vAlign w:val="center"/>
          </w:tcPr>
          <w:p>
            <w:pPr>
              <w:widowControl/>
              <w:spacing w:line="560" w:lineRule="exact"/>
              <w:jc w:val="center"/>
              <w:rPr>
                <w:rFonts w:ascii="方正仿宋简体" w:hAnsi="Tahoma" w:eastAsia="方正仿宋简体" w:cs="Tahoma"/>
                <w:b/>
                <w:bCs/>
                <w:kern w:val="0"/>
                <w:sz w:val="18"/>
                <w:szCs w:val="18"/>
              </w:rPr>
            </w:pPr>
            <w:r>
              <w:rPr>
                <w:rFonts w:hint="eastAsia" w:ascii="方正仿宋简体" w:hAnsi="Tahoma" w:eastAsia="方正仿宋简体" w:cs="Tahoma"/>
                <w:b/>
                <w:bCs/>
                <w:kern w:val="0"/>
                <w:sz w:val="18"/>
                <w:szCs w:val="18"/>
              </w:rPr>
              <w:t>评价内容</w:t>
            </w:r>
          </w:p>
        </w:tc>
        <w:tc>
          <w:tcPr>
            <w:tcW w:w="3289" w:type="dxa"/>
            <w:tcBorders>
              <w:top w:val="single" w:color="auto" w:sz="4" w:space="0"/>
              <w:left w:val="nil"/>
              <w:bottom w:val="single" w:color="auto" w:sz="4" w:space="0"/>
              <w:right w:val="single" w:color="auto" w:sz="4" w:space="0"/>
            </w:tcBorders>
            <w:noWrap w:val="0"/>
            <w:vAlign w:val="center"/>
          </w:tcPr>
          <w:p>
            <w:pPr>
              <w:widowControl/>
              <w:spacing w:line="560" w:lineRule="exact"/>
              <w:jc w:val="center"/>
              <w:rPr>
                <w:rFonts w:ascii="方正仿宋简体" w:hAnsi="Tahoma" w:eastAsia="方正仿宋简体" w:cs="Tahoma"/>
                <w:b/>
                <w:bCs/>
                <w:kern w:val="0"/>
                <w:sz w:val="18"/>
                <w:szCs w:val="18"/>
              </w:rPr>
            </w:pPr>
            <w:r>
              <w:rPr>
                <w:rFonts w:hint="eastAsia" w:ascii="方正仿宋简体" w:hAnsi="Tahoma" w:eastAsia="方正仿宋简体" w:cs="Tahoma"/>
                <w:b/>
                <w:bCs/>
                <w:kern w:val="0"/>
                <w:sz w:val="18"/>
                <w:szCs w:val="18"/>
              </w:rPr>
              <w:t>评价标准及计算方法</w:t>
            </w:r>
          </w:p>
        </w:tc>
        <w:tc>
          <w:tcPr>
            <w:tcW w:w="581" w:type="dxa"/>
            <w:tcBorders>
              <w:top w:val="single" w:color="auto" w:sz="4" w:space="0"/>
              <w:left w:val="nil"/>
              <w:bottom w:val="single" w:color="auto" w:sz="4" w:space="0"/>
              <w:right w:val="single" w:color="auto" w:sz="4" w:space="0"/>
            </w:tcBorders>
            <w:noWrap w:val="0"/>
            <w:vAlign w:val="center"/>
          </w:tcPr>
          <w:p>
            <w:pPr>
              <w:widowControl/>
              <w:spacing w:line="560" w:lineRule="exact"/>
              <w:jc w:val="center"/>
              <w:rPr>
                <w:rFonts w:ascii="方正仿宋简体" w:hAnsi="Tahoma" w:eastAsia="方正仿宋简体" w:cs="Tahoma"/>
                <w:b/>
                <w:bCs/>
                <w:kern w:val="0"/>
                <w:sz w:val="18"/>
                <w:szCs w:val="18"/>
              </w:rPr>
            </w:pPr>
            <w:r>
              <w:rPr>
                <w:rFonts w:hint="eastAsia" w:ascii="方正仿宋简体" w:hAnsi="Tahoma" w:eastAsia="方正仿宋简体" w:cs="Tahoma"/>
                <w:b/>
                <w:bCs/>
                <w:kern w:val="0"/>
                <w:sz w:val="18"/>
                <w:szCs w:val="18"/>
              </w:rPr>
              <w:t>评价得分</w:t>
            </w:r>
          </w:p>
        </w:tc>
      </w:tr>
      <w:tr>
        <w:tblPrEx>
          <w:tblCellMar>
            <w:top w:w="0" w:type="dxa"/>
            <w:left w:w="108" w:type="dxa"/>
            <w:bottom w:w="0" w:type="dxa"/>
            <w:right w:w="108" w:type="dxa"/>
          </w:tblCellMar>
        </w:tblPrEx>
        <w:trPr>
          <w:trHeight w:val="285" w:hRule="atLeast"/>
        </w:trPr>
        <w:tc>
          <w:tcPr>
            <w:tcW w:w="8479" w:type="dxa"/>
            <w:gridSpan w:val="6"/>
            <w:tcBorders>
              <w:top w:val="single" w:color="auto" w:sz="4" w:space="0"/>
              <w:left w:val="single" w:color="auto" w:sz="4" w:space="0"/>
              <w:bottom w:val="single" w:color="auto" w:sz="4" w:space="0"/>
              <w:right w:val="single" w:color="auto" w:sz="4" w:space="0"/>
            </w:tcBorders>
            <w:noWrap w:val="0"/>
            <w:vAlign w:val="center"/>
          </w:tcPr>
          <w:p>
            <w:pPr>
              <w:widowControl/>
              <w:spacing w:line="560" w:lineRule="exact"/>
              <w:jc w:val="center"/>
              <w:rPr>
                <w:rFonts w:ascii="方正仿宋简体" w:hAnsi="Tahoma" w:eastAsia="方正仿宋简体" w:cs="Tahoma"/>
                <w:b/>
                <w:bCs/>
                <w:kern w:val="0"/>
                <w:sz w:val="18"/>
                <w:szCs w:val="18"/>
              </w:rPr>
            </w:pPr>
            <w:r>
              <w:rPr>
                <w:rFonts w:hint="eastAsia" w:ascii="方正仿宋简体" w:hAnsi="Tahoma" w:eastAsia="方正仿宋简体" w:cs="Tahoma"/>
                <w:b/>
                <w:bCs/>
                <w:kern w:val="0"/>
                <w:sz w:val="18"/>
                <w:szCs w:val="18"/>
              </w:rPr>
              <w:t>评价得分</w:t>
            </w:r>
          </w:p>
        </w:tc>
        <w:tc>
          <w:tcPr>
            <w:tcW w:w="581" w:type="dxa"/>
            <w:tcBorders>
              <w:top w:val="nil"/>
              <w:left w:val="nil"/>
              <w:bottom w:val="single" w:color="auto" w:sz="4" w:space="0"/>
              <w:right w:val="single" w:color="auto" w:sz="4" w:space="0"/>
            </w:tcBorders>
            <w:noWrap/>
            <w:vAlign w:val="center"/>
          </w:tcPr>
          <w:p>
            <w:pPr>
              <w:widowControl/>
              <w:spacing w:line="560" w:lineRule="exact"/>
              <w:jc w:val="right"/>
              <w:rPr>
                <w:rFonts w:ascii="方正仿宋简体" w:hAnsi="Tahoma" w:eastAsia="方正仿宋简体" w:cs="Tahoma"/>
                <w:b/>
                <w:bCs/>
                <w:kern w:val="0"/>
                <w:sz w:val="18"/>
                <w:szCs w:val="18"/>
              </w:rPr>
            </w:pPr>
            <w:r>
              <w:rPr>
                <w:rFonts w:hint="eastAsia" w:ascii="方正仿宋简体" w:hAnsi="Tahoma" w:eastAsia="方正仿宋简体" w:cs="Tahoma"/>
                <w:b/>
                <w:bCs/>
                <w:kern w:val="0"/>
                <w:sz w:val="18"/>
                <w:szCs w:val="18"/>
              </w:rPr>
              <w:t>90</w:t>
            </w:r>
          </w:p>
        </w:tc>
      </w:tr>
      <w:tr>
        <w:tblPrEx>
          <w:tblCellMar>
            <w:top w:w="0" w:type="dxa"/>
            <w:left w:w="108" w:type="dxa"/>
            <w:bottom w:w="0" w:type="dxa"/>
            <w:right w:w="108" w:type="dxa"/>
          </w:tblCellMar>
        </w:tblPrEx>
        <w:trPr>
          <w:trHeight w:val="675" w:hRule="atLeast"/>
        </w:trPr>
        <w:tc>
          <w:tcPr>
            <w:tcW w:w="621" w:type="dxa"/>
            <w:vMerge w:val="restart"/>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基础工作管理（30分）</w:t>
            </w:r>
          </w:p>
        </w:tc>
        <w:tc>
          <w:tcPr>
            <w:tcW w:w="57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组织机构完善</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4</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包括成立各种相应的组织机构</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成立相应组织机构、内控岗位设置合理得4分，组织机构不健全、内控岗位设置不合理相应扣分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4</w:t>
            </w:r>
          </w:p>
        </w:tc>
      </w:tr>
      <w:tr>
        <w:tblPrEx>
          <w:tblCellMar>
            <w:top w:w="0" w:type="dxa"/>
            <w:left w:w="108" w:type="dxa"/>
            <w:bottom w:w="0" w:type="dxa"/>
            <w:right w:w="108" w:type="dxa"/>
          </w:tblCellMar>
        </w:tblPrEx>
        <w:trPr>
          <w:trHeight w:val="675"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vMerge w:val="restart"/>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管理制度完善</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4</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包括制定财政资金管理办法、内控制度，会计核算制度等管理制度</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管理制度完善4分，制度不够完善相应扣分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4</w:t>
            </w:r>
          </w:p>
        </w:tc>
      </w:tr>
      <w:tr>
        <w:tblPrEx>
          <w:tblCellMar>
            <w:top w:w="0" w:type="dxa"/>
            <w:left w:w="108" w:type="dxa"/>
            <w:bottom w:w="0" w:type="dxa"/>
            <w:right w:w="108" w:type="dxa"/>
          </w:tblCellMar>
        </w:tblPrEx>
        <w:trPr>
          <w:trHeight w:val="450"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4</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部门制定的管理制度合法、合规、完整</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制度合法、合规、完整4分，反之相应扣分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4</w:t>
            </w:r>
          </w:p>
        </w:tc>
      </w:tr>
      <w:tr>
        <w:tblPrEx>
          <w:tblCellMar>
            <w:top w:w="0" w:type="dxa"/>
            <w:left w:w="108" w:type="dxa"/>
            <w:bottom w:w="0" w:type="dxa"/>
            <w:right w:w="108" w:type="dxa"/>
          </w:tblCellMar>
        </w:tblPrEx>
        <w:trPr>
          <w:trHeight w:val="450"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4</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部门制定的内控制度得到有效执行</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有效执行4分，未能有效执行相应扣分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4</w:t>
            </w:r>
          </w:p>
        </w:tc>
      </w:tr>
      <w:tr>
        <w:tblPrEx>
          <w:tblCellMar>
            <w:top w:w="0" w:type="dxa"/>
            <w:left w:w="108" w:type="dxa"/>
            <w:bottom w:w="0" w:type="dxa"/>
            <w:right w:w="108" w:type="dxa"/>
          </w:tblCellMar>
        </w:tblPrEx>
        <w:trPr>
          <w:trHeight w:val="450"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指标体系完善</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2</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部门制定的项目预算支出评价个性指标体系健全</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个性指标体系健全2分，指标体系不够健全相应扣分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2</w:t>
            </w:r>
          </w:p>
        </w:tc>
      </w:tr>
      <w:tr>
        <w:tblPrEx>
          <w:tblCellMar>
            <w:top w:w="0" w:type="dxa"/>
            <w:left w:w="108" w:type="dxa"/>
            <w:bottom w:w="0" w:type="dxa"/>
            <w:right w:w="108" w:type="dxa"/>
          </w:tblCellMar>
        </w:tblPrEx>
        <w:trPr>
          <w:trHeight w:val="450"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宣传培训</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2</w:t>
            </w:r>
          </w:p>
        </w:tc>
        <w:tc>
          <w:tcPr>
            <w:tcW w:w="2910" w:type="dxa"/>
            <w:tcBorders>
              <w:top w:val="nil"/>
              <w:left w:val="nil"/>
              <w:bottom w:val="single" w:color="auto" w:sz="4" w:space="0"/>
              <w:right w:val="single" w:color="auto" w:sz="4" w:space="0"/>
            </w:tcBorders>
            <w:noWrap/>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部门对绩效评价工作开展的宣传培训</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开展了宣传培训2分，未能全面开展宣传培训相应扣分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2</w:t>
            </w:r>
          </w:p>
        </w:tc>
      </w:tr>
      <w:tr>
        <w:tblPrEx>
          <w:tblCellMar>
            <w:top w:w="0" w:type="dxa"/>
            <w:left w:w="108" w:type="dxa"/>
            <w:bottom w:w="0" w:type="dxa"/>
            <w:right w:w="108" w:type="dxa"/>
          </w:tblCellMar>
        </w:tblPrEx>
        <w:trPr>
          <w:trHeight w:val="450"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vMerge w:val="restart"/>
            <w:tcBorders>
              <w:top w:val="nil"/>
              <w:left w:val="single" w:color="auto" w:sz="4" w:space="0"/>
              <w:bottom w:val="nil"/>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会计核算</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2</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会计核算及时</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会计核算及时，日清月结的得2分，核算不及时的相应扣分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2</w:t>
            </w:r>
          </w:p>
        </w:tc>
      </w:tr>
      <w:tr>
        <w:tblPrEx>
          <w:tblCellMar>
            <w:top w:w="0" w:type="dxa"/>
            <w:left w:w="108" w:type="dxa"/>
            <w:bottom w:w="0" w:type="dxa"/>
            <w:right w:w="108" w:type="dxa"/>
          </w:tblCellMar>
        </w:tblPrEx>
        <w:trPr>
          <w:trHeight w:val="450"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vMerge w:val="continue"/>
            <w:tcBorders>
              <w:top w:val="nil"/>
              <w:left w:val="single" w:color="auto" w:sz="4" w:space="0"/>
              <w:bottom w:val="nil"/>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5</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会计核算规范</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会计核算规范、科目使用准确、原始发票及附件充分、分项目核算的得5分，否则相应扣分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5</w:t>
            </w:r>
          </w:p>
        </w:tc>
      </w:tr>
      <w:tr>
        <w:tblPrEx>
          <w:tblCellMar>
            <w:top w:w="0" w:type="dxa"/>
            <w:left w:w="108" w:type="dxa"/>
            <w:bottom w:w="0" w:type="dxa"/>
            <w:right w:w="108" w:type="dxa"/>
          </w:tblCellMar>
        </w:tblPrEx>
        <w:trPr>
          <w:trHeight w:val="285"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vMerge w:val="continue"/>
            <w:tcBorders>
              <w:top w:val="nil"/>
              <w:left w:val="single" w:color="auto" w:sz="4" w:space="0"/>
              <w:bottom w:val="nil"/>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3</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会计档案规范</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会计档案整理规范的得3分，不规范的相应扣分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3</w:t>
            </w:r>
          </w:p>
        </w:tc>
      </w:tr>
      <w:tr>
        <w:tblPrEx>
          <w:tblCellMar>
            <w:top w:w="0" w:type="dxa"/>
            <w:left w:w="108" w:type="dxa"/>
            <w:bottom w:w="0" w:type="dxa"/>
            <w:right w:w="108" w:type="dxa"/>
          </w:tblCellMar>
        </w:tblPrEx>
        <w:trPr>
          <w:trHeight w:val="675" w:hRule="atLeast"/>
        </w:trPr>
        <w:tc>
          <w:tcPr>
            <w:tcW w:w="621" w:type="dxa"/>
            <w:vMerge w:val="restart"/>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绩效目标管理（15分）</w:t>
            </w:r>
          </w:p>
        </w:tc>
        <w:tc>
          <w:tcPr>
            <w:tcW w:w="579"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绩效目标合理性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2</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绩效目标管理符合国家法律法规、国民经济和社会发展总体规划</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绩效目标符合相关法规和总体规划2分，绩效目标不够合理的相应扣分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2</w:t>
            </w:r>
          </w:p>
        </w:tc>
      </w:tr>
      <w:tr>
        <w:tblPrEx>
          <w:tblCellMar>
            <w:top w:w="0" w:type="dxa"/>
            <w:left w:w="108" w:type="dxa"/>
            <w:bottom w:w="0" w:type="dxa"/>
            <w:right w:w="108" w:type="dxa"/>
          </w:tblCellMar>
        </w:tblPrEx>
        <w:trPr>
          <w:trHeight w:val="450"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2</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绩效目标符合部门“三定”方案确定的职责</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绩效目标符合部分“三定”方案2分，不符合相应扣分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2</w:t>
            </w:r>
          </w:p>
        </w:tc>
      </w:tr>
      <w:tr>
        <w:tblPrEx>
          <w:tblCellMar>
            <w:top w:w="0" w:type="dxa"/>
            <w:left w:w="108" w:type="dxa"/>
            <w:bottom w:w="0" w:type="dxa"/>
            <w:right w:w="108" w:type="dxa"/>
          </w:tblCellMar>
        </w:tblPrEx>
        <w:trPr>
          <w:trHeight w:val="450"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2</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绩效目标符合部门制定的中长期规划</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绩效目标符合部门制定的中长期规划2分，不符合相应扣分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2</w:t>
            </w:r>
          </w:p>
        </w:tc>
      </w:tr>
      <w:tr>
        <w:tblPrEx>
          <w:tblCellMar>
            <w:top w:w="0" w:type="dxa"/>
            <w:left w:w="108" w:type="dxa"/>
            <w:bottom w:w="0" w:type="dxa"/>
            <w:right w:w="108" w:type="dxa"/>
          </w:tblCellMar>
        </w:tblPrEx>
        <w:trPr>
          <w:trHeight w:val="675"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绩效目标覆盖率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4</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部门绩效目标覆盖率达到年度预算布置的要求</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绩效目标覆盖率＝实际申报绩效目标项目资金额/部门项目预算资金总额×100%。每低于10个百分点扣1分，扣完为止</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3</w:t>
            </w:r>
          </w:p>
        </w:tc>
      </w:tr>
      <w:tr>
        <w:tblPrEx>
          <w:tblCellMar>
            <w:top w:w="0" w:type="dxa"/>
            <w:left w:w="108" w:type="dxa"/>
            <w:bottom w:w="0" w:type="dxa"/>
            <w:right w:w="108" w:type="dxa"/>
          </w:tblCellMar>
        </w:tblPrEx>
        <w:trPr>
          <w:trHeight w:val="450"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vMerge w:val="restart"/>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绩效指标明确性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2</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绩效目标申报表的填写完整</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申报表填写完整2分，不够完整相应扣分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2</w:t>
            </w:r>
          </w:p>
        </w:tc>
      </w:tr>
      <w:tr>
        <w:tblPrEx>
          <w:tblCellMar>
            <w:top w:w="0" w:type="dxa"/>
            <w:left w:w="108" w:type="dxa"/>
            <w:bottom w:w="0" w:type="dxa"/>
            <w:right w:w="108" w:type="dxa"/>
          </w:tblCellMar>
        </w:tblPrEx>
        <w:trPr>
          <w:trHeight w:val="450"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2</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绩效指标设置清晰、可衡量</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绩效指标设置清晰、可衡量2分，反之相应扣分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2</w:t>
            </w:r>
          </w:p>
        </w:tc>
      </w:tr>
      <w:tr>
        <w:tblPrEx>
          <w:tblCellMar>
            <w:top w:w="0" w:type="dxa"/>
            <w:left w:w="108" w:type="dxa"/>
            <w:bottom w:w="0" w:type="dxa"/>
            <w:right w:w="108" w:type="dxa"/>
          </w:tblCellMar>
        </w:tblPrEx>
        <w:trPr>
          <w:trHeight w:val="450"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1</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xml:space="preserve">绩效指标与本年度部门预算资金相匹配 </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绩效指标与资金相匹配1分，不完全匹配相应扣分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1</w:t>
            </w:r>
          </w:p>
        </w:tc>
      </w:tr>
      <w:tr>
        <w:tblPrEx>
          <w:tblCellMar>
            <w:top w:w="0" w:type="dxa"/>
            <w:left w:w="108" w:type="dxa"/>
            <w:bottom w:w="0" w:type="dxa"/>
            <w:right w:w="108" w:type="dxa"/>
          </w:tblCellMar>
        </w:tblPrEx>
        <w:trPr>
          <w:trHeight w:val="900" w:hRule="atLeast"/>
        </w:trPr>
        <w:tc>
          <w:tcPr>
            <w:tcW w:w="621" w:type="dxa"/>
            <w:vMerge w:val="restart"/>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绩效运行监控（25分）</w:t>
            </w:r>
          </w:p>
        </w:tc>
        <w:tc>
          <w:tcPr>
            <w:tcW w:w="57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预算完成率</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5</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部门支出预算完成程度</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年初预算完成率＝（年度支出预算完成数/年初支出预算数）×100%。年初预算完成率＝100%为达到要求。每低于要求2个百分点扣1分，扣完为止</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4</w:t>
            </w:r>
          </w:p>
        </w:tc>
      </w:tr>
      <w:tr>
        <w:tblPrEx>
          <w:tblCellMar>
            <w:top w:w="0" w:type="dxa"/>
            <w:left w:w="108" w:type="dxa"/>
            <w:bottom w:w="0" w:type="dxa"/>
            <w:right w:w="108" w:type="dxa"/>
          </w:tblCellMar>
        </w:tblPrEx>
        <w:trPr>
          <w:trHeight w:val="675"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项目预算调整变动率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3</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部门项目预算的调整程度</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预算调整变动率＝（项目预算调整数/年初项目预算数）×100%。预算调整变动率＝0为达到要求。每高于要求10个百分点扣1分，扣完为止</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3</w:t>
            </w:r>
          </w:p>
        </w:tc>
      </w:tr>
      <w:tr>
        <w:tblPrEx>
          <w:tblCellMar>
            <w:top w:w="0" w:type="dxa"/>
            <w:left w:w="108" w:type="dxa"/>
            <w:bottom w:w="0" w:type="dxa"/>
            <w:right w:w="108" w:type="dxa"/>
          </w:tblCellMar>
        </w:tblPrEx>
        <w:trPr>
          <w:trHeight w:val="1800"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政府采购执行率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3</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部门政府采购预算执行情况</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政府采购执行率=（实际政府采购金额/政府采购预算数）×100%。政府采购执行率＝100%为达到要求。每高于或低于5个百分点扣1分，扣完为止。（若单位没有政府采购预算且没有发生实际采购行为得3分；若预算单位没有政府采购预算但发生实际采购行为的得0分；若预算单位有政府采购预算但没发生实际采购</w:t>
            </w:r>
            <w:r>
              <w:rPr>
                <w:rFonts w:hint="eastAsia" w:ascii="方正仿宋简体" w:hAnsi="Tahoma" w:eastAsia="方正仿宋简体" w:cs="Tahoma"/>
                <w:kern w:val="0"/>
                <w:sz w:val="18"/>
                <w:szCs w:val="18"/>
                <w:lang w:eastAsia="zh-CN"/>
              </w:rPr>
              <w:t>行为</w:t>
            </w:r>
            <w:r>
              <w:rPr>
                <w:rFonts w:hint="eastAsia" w:ascii="方正仿宋简体" w:hAnsi="Tahoma" w:eastAsia="方正仿宋简体" w:cs="Tahoma"/>
                <w:kern w:val="0"/>
                <w:sz w:val="18"/>
                <w:szCs w:val="18"/>
              </w:rPr>
              <w:t>得0分）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3</w:t>
            </w:r>
          </w:p>
        </w:tc>
      </w:tr>
      <w:tr>
        <w:tblPrEx>
          <w:tblCellMar>
            <w:top w:w="0" w:type="dxa"/>
            <w:left w:w="108" w:type="dxa"/>
            <w:bottom w:w="0" w:type="dxa"/>
            <w:right w:w="108" w:type="dxa"/>
          </w:tblCellMar>
        </w:tblPrEx>
        <w:trPr>
          <w:trHeight w:val="900"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xml:space="preserve">三公经费控制率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5</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部门“三公经费”控制程度</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“三公经费”控制率＝（“三公经费”实际支出数/“三公经费”预算安排数）×100%。“三公经费”控制率≤100%为达到要求得5分。每高于要求2个百分点扣1分，扣完为止</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5</w:t>
            </w:r>
          </w:p>
        </w:tc>
      </w:tr>
      <w:tr>
        <w:tblPrEx>
          <w:tblCellMar>
            <w:top w:w="0" w:type="dxa"/>
            <w:left w:w="108" w:type="dxa"/>
            <w:bottom w:w="0" w:type="dxa"/>
            <w:right w:w="108" w:type="dxa"/>
          </w:tblCellMar>
        </w:tblPrEx>
        <w:trPr>
          <w:trHeight w:val="675"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vMerge w:val="restart"/>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资产管理</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1</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部门资产管理信息系统建设情况</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考核部门和单位将国有资产纳入资产信息系统管理情况,已建好部门资产管理信息系统得1分，未建好的0分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1</w:t>
            </w:r>
          </w:p>
        </w:tc>
      </w:tr>
      <w:tr>
        <w:tblPrEx>
          <w:tblCellMar>
            <w:top w:w="0" w:type="dxa"/>
            <w:left w:w="108" w:type="dxa"/>
            <w:bottom w:w="0" w:type="dxa"/>
            <w:right w:w="108" w:type="dxa"/>
          </w:tblCellMar>
        </w:tblPrEx>
        <w:trPr>
          <w:trHeight w:val="450"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2</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部门资产清理核实开展情况</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考核部门和单位已按要求及时、真实、准确、全面开展资产清查、核实情况得2分，反之0分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2</w:t>
            </w:r>
          </w:p>
        </w:tc>
      </w:tr>
      <w:tr>
        <w:tblPrEx>
          <w:tblCellMar>
            <w:top w:w="0" w:type="dxa"/>
            <w:left w:w="108" w:type="dxa"/>
            <w:bottom w:w="0" w:type="dxa"/>
            <w:right w:w="108" w:type="dxa"/>
          </w:tblCellMar>
        </w:tblPrEx>
        <w:trPr>
          <w:trHeight w:val="900"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2</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部门资产登记、上报及管理情况</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考核部门和单位已经对国有资产登记、上报，并出台管理办法、制度等措施得2分，已登记、上报但未出台管理办法措施得1分，未登记、上报未出台管理办法措施0分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2</w:t>
            </w:r>
          </w:p>
        </w:tc>
      </w:tr>
      <w:tr>
        <w:tblPrEx>
          <w:tblCellMar>
            <w:top w:w="0" w:type="dxa"/>
            <w:left w:w="108" w:type="dxa"/>
            <w:bottom w:w="0" w:type="dxa"/>
            <w:right w:w="108" w:type="dxa"/>
          </w:tblCellMar>
        </w:tblPrEx>
        <w:trPr>
          <w:trHeight w:val="450"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vMerge w:val="restart"/>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预决算信息公开</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2</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按规定内容、时限公开预算信息</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按规定公开预算信息得2分，未按规定公开相应扣减分数</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2</w:t>
            </w:r>
          </w:p>
        </w:tc>
      </w:tr>
      <w:tr>
        <w:tblPrEx>
          <w:tblCellMar>
            <w:top w:w="0" w:type="dxa"/>
            <w:left w:w="108" w:type="dxa"/>
            <w:bottom w:w="0" w:type="dxa"/>
            <w:right w:w="108" w:type="dxa"/>
          </w:tblCellMar>
        </w:tblPrEx>
        <w:trPr>
          <w:trHeight w:val="450"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2</w:t>
            </w:r>
          </w:p>
        </w:tc>
        <w:tc>
          <w:tcPr>
            <w:tcW w:w="2910" w:type="dxa"/>
            <w:tcBorders>
              <w:top w:val="nil"/>
              <w:left w:val="nil"/>
              <w:bottom w:val="single" w:color="auto" w:sz="4" w:space="0"/>
              <w:right w:val="single" w:color="auto" w:sz="4" w:space="0"/>
            </w:tcBorders>
            <w:noWrap/>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按规定内容、时限公开决算信息</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按规定公开决算信息得2分，未按规定公开相应扣减分数</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2</w:t>
            </w:r>
          </w:p>
        </w:tc>
      </w:tr>
      <w:tr>
        <w:tblPrEx>
          <w:tblCellMar>
            <w:top w:w="0" w:type="dxa"/>
            <w:left w:w="108" w:type="dxa"/>
            <w:bottom w:w="0" w:type="dxa"/>
            <w:right w:w="108" w:type="dxa"/>
          </w:tblCellMar>
        </w:tblPrEx>
        <w:trPr>
          <w:trHeight w:val="675" w:hRule="atLeast"/>
        </w:trPr>
        <w:tc>
          <w:tcPr>
            <w:tcW w:w="621" w:type="dxa"/>
            <w:vMerge w:val="restart"/>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绩效评价实施（15分）</w:t>
            </w:r>
          </w:p>
        </w:tc>
        <w:tc>
          <w:tcPr>
            <w:tcW w:w="57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部门项目自评率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5</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部门实施绩效评价项目覆盖情况</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项目自评率＝自评项目数/项目总数×100%。按项目自评率得分。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3</w:t>
            </w:r>
          </w:p>
        </w:tc>
      </w:tr>
      <w:tr>
        <w:tblPrEx>
          <w:tblCellMar>
            <w:top w:w="0" w:type="dxa"/>
            <w:left w:w="108" w:type="dxa"/>
            <w:bottom w:w="0" w:type="dxa"/>
            <w:right w:w="108" w:type="dxa"/>
          </w:tblCellMar>
        </w:tblPrEx>
        <w:trPr>
          <w:trHeight w:val="900"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资金评价</w:t>
            </w:r>
            <w:bookmarkStart w:id="106" w:name="_GoBack"/>
            <w:bookmarkEnd w:id="106"/>
            <w:r>
              <w:rPr>
                <w:rFonts w:hint="eastAsia" w:ascii="方正仿宋简体" w:hAnsi="Tahoma" w:eastAsia="方正仿宋简体" w:cs="Tahoma"/>
                <w:kern w:val="0"/>
                <w:sz w:val="18"/>
                <w:szCs w:val="18"/>
              </w:rPr>
              <w:t xml:space="preserve">覆盖率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5</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部门绩效评价项目资金覆盖情况</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项目资金覆盖率=实施绩效评价项目资金额/部门项目预算资金总额×100%。绩效评价资金覆盖率100%得5分；每低于要求10个百分点扣1分，扣完为止</w:t>
            </w:r>
          </w:p>
        </w:tc>
        <w:tc>
          <w:tcPr>
            <w:tcW w:w="581" w:type="dxa"/>
            <w:tcBorders>
              <w:top w:val="nil"/>
              <w:left w:val="nil"/>
              <w:bottom w:val="single" w:color="auto" w:sz="4" w:space="0"/>
              <w:right w:val="single" w:color="auto" w:sz="4" w:space="0"/>
            </w:tcBorders>
            <w:noWrap w:val="0"/>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3</w:t>
            </w:r>
          </w:p>
        </w:tc>
      </w:tr>
      <w:tr>
        <w:tblPrEx>
          <w:tblCellMar>
            <w:top w:w="0" w:type="dxa"/>
            <w:left w:w="108" w:type="dxa"/>
            <w:bottom w:w="0" w:type="dxa"/>
            <w:right w:w="108" w:type="dxa"/>
          </w:tblCellMar>
        </w:tblPrEx>
        <w:trPr>
          <w:trHeight w:val="450"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xml:space="preserve">评价质量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5</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部门绩效评价质量情况</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根据评价工作开展情况、评价报告质量、资料收集情况等综合评分</w:t>
            </w:r>
          </w:p>
        </w:tc>
        <w:tc>
          <w:tcPr>
            <w:tcW w:w="581" w:type="dxa"/>
            <w:tcBorders>
              <w:top w:val="nil"/>
              <w:left w:val="nil"/>
              <w:bottom w:val="single" w:color="auto" w:sz="4" w:space="0"/>
              <w:right w:val="single" w:color="auto" w:sz="4" w:space="0"/>
            </w:tcBorders>
            <w:noWrap w:val="0"/>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4</w:t>
            </w:r>
          </w:p>
        </w:tc>
      </w:tr>
      <w:tr>
        <w:tblPrEx>
          <w:tblCellMar>
            <w:top w:w="0" w:type="dxa"/>
            <w:left w:w="108" w:type="dxa"/>
            <w:bottom w:w="0" w:type="dxa"/>
            <w:right w:w="108" w:type="dxa"/>
          </w:tblCellMar>
        </w:tblPrEx>
        <w:trPr>
          <w:trHeight w:val="450" w:hRule="atLeast"/>
        </w:trPr>
        <w:tc>
          <w:tcPr>
            <w:tcW w:w="621" w:type="dxa"/>
            <w:vMerge w:val="restart"/>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评价结果应用（15分）</w:t>
            </w:r>
          </w:p>
        </w:tc>
        <w:tc>
          <w:tcPr>
            <w:tcW w:w="57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绩效公开</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3</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绩效评价结果公开</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按要求将绩效评价结果在单位门户网站等公开的得3分，未按规定公开相应扣分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0</w:t>
            </w:r>
          </w:p>
        </w:tc>
      </w:tr>
      <w:tr>
        <w:tblPrEx>
          <w:tblCellMar>
            <w:top w:w="0" w:type="dxa"/>
            <w:left w:w="108" w:type="dxa"/>
            <w:bottom w:w="0" w:type="dxa"/>
            <w:right w:w="108" w:type="dxa"/>
          </w:tblCellMar>
        </w:tblPrEx>
        <w:trPr>
          <w:trHeight w:val="675"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绩效管理问题整改</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3</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按要求全面整改到位</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上年绩效评价发现的问题全面整改到位的得3分，没有全面整改到位的按比例得分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3</w:t>
            </w:r>
          </w:p>
        </w:tc>
      </w:tr>
      <w:tr>
        <w:tblPrEx>
          <w:tblCellMar>
            <w:top w:w="0" w:type="dxa"/>
            <w:left w:w="108" w:type="dxa"/>
            <w:bottom w:w="0" w:type="dxa"/>
            <w:right w:w="108" w:type="dxa"/>
          </w:tblCellMar>
        </w:tblPrEx>
        <w:trPr>
          <w:trHeight w:val="900"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其他监督检查问题整改</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3</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按要求全面整改到位</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各级巡视巡察、纪检监察、审计、财政监督检查等发现问题全面整改到位的得3分，没有全面整改到位的按比例得分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3</w:t>
            </w:r>
          </w:p>
        </w:tc>
      </w:tr>
      <w:tr>
        <w:tblPrEx>
          <w:tblCellMar>
            <w:top w:w="0" w:type="dxa"/>
            <w:left w:w="108" w:type="dxa"/>
            <w:bottom w:w="0" w:type="dxa"/>
            <w:right w:w="108" w:type="dxa"/>
          </w:tblCellMar>
        </w:tblPrEx>
        <w:trPr>
          <w:trHeight w:val="450"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绩效问责</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3</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按规定实施绩效问责</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按规定实施绩效问责得3分，未按规定实施绩效问责相应扣分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3</w:t>
            </w:r>
          </w:p>
        </w:tc>
      </w:tr>
      <w:tr>
        <w:tblPrEx>
          <w:tblCellMar>
            <w:top w:w="0" w:type="dxa"/>
            <w:left w:w="108" w:type="dxa"/>
            <w:bottom w:w="0" w:type="dxa"/>
            <w:right w:w="108" w:type="dxa"/>
          </w:tblCellMar>
        </w:tblPrEx>
        <w:trPr>
          <w:trHeight w:val="450"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项目调整</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3</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根据绩效评价结果调整下年项目及金额</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按规定调整的得3分，未按规定实施绩效问责相应扣分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3</w:t>
            </w:r>
          </w:p>
        </w:tc>
      </w:tr>
      <w:tr>
        <w:tblPrEx>
          <w:tblCellMar>
            <w:top w:w="0" w:type="dxa"/>
            <w:left w:w="108" w:type="dxa"/>
            <w:bottom w:w="0" w:type="dxa"/>
            <w:right w:w="108" w:type="dxa"/>
          </w:tblCellMar>
        </w:tblPrEx>
        <w:trPr>
          <w:trHeight w:val="450" w:hRule="atLeast"/>
        </w:trPr>
        <w:tc>
          <w:tcPr>
            <w:tcW w:w="621" w:type="dxa"/>
            <w:vMerge w:val="restart"/>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绩效管理创新(+10分)</w:t>
            </w:r>
          </w:p>
        </w:tc>
        <w:tc>
          <w:tcPr>
            <w:tcW w:w="57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管理制度创新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3</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在绩效评价过程中管理制度有创新</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在开展绩效评价过程中制定有关制度或者发表相关研究文章的相应得分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0</w:t>
            </w:r>
          </w:p>
        </w:tc>
      </w:tr>
      <w:tr>
        <w:tblPrEx>
          <w:tblCellMar>
            <w:top w:w="0" w:type="dxa"/>
            <w:left w:w="108" w:type="dxa"/>
            <w:bottom w:w="0" w:type="dxa"/>
            <w:right w:w="108" w:type="dxa"/>
          </w:tblCellMar>
        </w:tblPrEx>
        <w:trPr>
          <w:trHeight w:val="450"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工作推进创新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4</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在工作推进中有创新</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在推进自我评价、配合重点评价、完善个性指标体系方面的创新的相应得分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0</w:t>
            </w:r>
          </w:p>
        </w:tc>
      </w:tr>
      <w:tr>
        <w:tblPrEx>
          <w:tblCellMar>
            <w:top w:w="0" w:type="dxa"/>
            <w:left w:w="108" w:type="dxa"/>
            <w:bottom w:w="0" w:type="dxa"/>
            <w:right w:w="108" w:type="dxa"/>
          </w:tblCellMar>
        </w:tblPrEx>
        <w:trPr>
          <w:trHeight w:val="450" w:hRule="atLeast"/>
        </w:trPr>
        <w:tc>
          <w:tcPr>
            <w:tcW w:w="621" w:type="dxa"/>
            <w:vMerge w:val="continue"/>
            <w:tcBorders>
              <w:top w:val="nil"/>
              <w:left w:val="single" w:color="auto" w:sz="4" w:space="0"/>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p>
        </w:tc>
        <w:tc>
          <w:tcPr>
            <w:tcW w:w="57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结果应用创新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3</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在结果应用中有创新</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在评价结果公开、向政府报告等结果应用工作方面的创新的相应得分</w:t>
            </w:r>
          </w:p>
        </w:tc>
        <w:tc>
          <w:tcPr>
            <w:tcW w:w="581" w:type="dxa"/>
            <w:tcBorders>
              <w:top w:val="nil"/>
              <w:left w:val="nil"/>
              <w:bottom w:val="single" w:color="auto" w:sz="4" w:space="0"/>
              <w:right w:val="single" w:color="auto" w:sz="4" w:space="0"/>
            </w:tcBorders>
            <w:noWrap/>
            <w:vAlign w:val="center"/>
          </w:tcPr>
          <w:p>
            <w:pPr>
              <w:widowControl/>
              <w:spacing w:line="400" w:lineRule="exact"/>
              <w:jc w:val="righ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0</w:t>
            </w:r>
          </w:p>
        </w:tc>
      </w:tr>
      <w:tr>
        <w:tblPrEx>
          <w:tblCellMar>
            <w:top w:w="0" w:type="dxa"/>
            <w:left w:w="108" w:type="dxa"/>
            <w:bottom w:w="0" w:type="dxa"/>
            <w:right w:w="108" w:type="dxa"/>
          </w:tblCellMar>
        </w:tblPrEx>
        <w:trPr>
          <w:trHeight w:val="1125" w:hRule="atLeast"/>
        </w:trPr>
        <w:tc>
          <w:tcPr>
            <w:tcW w:w="621"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监督发现问题 (-10分)</w:t>
            </w:r>
          </w:p>
        </w:tc>
        <w:tc>
          <w:tcPr>
            <w:tcW w:w="579"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违规问题</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540" w:type="dxa"/>
            <w:tcBorders>
              <w:top w:val="nil"/>
              <w:left w:val="nil"/>
              <w:bottom w:val="single" w:color="auto" w:sz="4" w:space="0"/>
              <w:right w:val="single" w:color="auto" w:sz="4" w:space="0"/>
            </w:tcBorders>
            <w:noWrap w:val="0"/>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-10</w:t>
            </w:r>
          </w:p>
        </w:tc>
        <w:tc>
          <w:tcPr>
            <w:tcW w:w="2910"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部门或个人存在违反《预算法</w:t>
            </w:r>
            <w:r>
              <w:rPr>
                <w:rFonts w:hint="eastAsia" w:ascii="方正仿宋简体" w:hAnsi="Tahoma" w:eastAsia="方正仿宋简体" w:cs="Tahoma"/>
                <w:kern w:val="0"/>
                <w:sz w:val="18"/>
                <w:szCs w:val="18"/>
                <w:lang w:eastAsia="zh-CN"/>
              </w:rPr>
              <w:t>》《</w:t>
            </w:r>
            <w:r>
              <w:rPr>
                <w:rFonts w:hint="eastAsia" w:ascii="方正仿宋简体" w:hAnsi="Tahoma" w:eastAsia="方正仿宋简体" w:cs="Tahoma"/>
                <w:kern w:val="0"/>
                <w:sz w:val="18"/>
                <w:szCs w:val="18"/>
              </w:rPr>
              <w:t>财政违法行为处罚处分条例》等相关法律法规并已受到处理处罚的情况</w:t>
            </w:r>
          </w:p>
        </w:tc>
        <w:tc>
          <w:tcPr>
            <w:tcW w:w="3289" w:type="dxa"/>
            <w:tcBorders>
              <w:top w:val="nil"/>
              <w:left w:val="nil"/>
              <w:bottom w:val="single" w:color="auto" w:sz="4" w:space="0"/>
              <w:right w:val="single" w:color="auto" w:sz="4" w:space="0"/>
            </w:tcBorders>
            <w:noWrap w:val="0"/>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各级巡视巡察、纪检监察、审计、财政监督检查等发现问题的，每发现一类问题扣1分（多个部门发现的同类问题不重复扣分），涉及金额或社会影响较大的扣2--10分</w:t>
            </w:r>
          </w:p>
        </w:tc>
        <w:tc>
          <w:tcPr>
            <w:tcW w:w="581" w:type="dxa"/>
            <w:tcBorders>
              <w:top w:val="nil"/>
              <w:left w:val="nil"/>
              <w:bottom w:val="single" w:color="auto" w:sz="4" w:space="0"/>
              <w:right w:val="single" w:color="auto" w:sz="4" w:space="0"/>
            </w:tcBorders>
            <w:noWrap/>
            <w:vAlign w:val="center"/>
          </w:tcPr>
          <w:p>
            <w:pPr>
              <w:widowControl/>
              <w:spacing w:line="400" w:lineRule="exact"/>
              <w:jc w:val="left"/>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r>
      <w:tr>
        <w:tblPrEx>
          <w:tblCellMar>
            <w:top w:w="0" w:type="dxa"/>
            <w:left w:w="108" w:type="dxa"/>
            <w:bottom w:w="0" w:type="dxa"/>
            <w:right w:w="108" w:type="dxa"/>
          </w:tblCellMar>
        </w:tblPrEx>
        <w:trPr>
          <w:trHeight w:val="499" w:hRule="atLeast"/>
        </w:trPr>
        <w:tc>
          <w:tcPr>
            <w:tcW w:w="1200"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评价结论</w:t>
            </w:r>
          </w:p>
        </w:tc>
        <w:tc>
          <w:tcPr>
            <w:tcW w:w="540" w:type="dxa"/>
            <w:tcBorders>
              <w:top w:val="nil"/>
              <w:left w:val="nil"/>
              <w:bottom w:val="single" w:color="auto" w:sz="4" w:space="0"/>
              <w:right w:val="nil"/>
            </w:tcBorders>
            <w:noWrap/>
            <w:vAlign w:val="center"/>
          </w:tcPr>
          <w:p>
            <w:pPr>
              <w:widowControl/>
              <w:spacing w:line="400" w:lineRule="exact"/>
              <w:jc w:val="center"/>
              <w:rPr>
                <w:rFonts w:ascii="方正仿宋简体" w:hAnsi="Tahoma" w:eastAsia="方正仿宋简体" w:cs="Tahoma"/>
                <w:kern w:val="0"/>
                <w:sz w:val="18"/>
                <w:szCs w:val="18"/>
              </w:rPr>
            </w:pPr>
            <w:r>
              <w:rPr>
                <w:rFonts w:hint="eastAsia" w:ascii="方正仿宋简体" w:hAnsi="Tahoma" w:eastAsia="方正仿宋简体" w:cs="Tahoma"/>
                <w:kern w:val="0"/>
                <w:sz w:val="18"/>
                <w:szCs w:val="18"/>
              </w:rPr>
              <w:t>　</w:t>
            </w:r>
          </w:p>
        </w:tc>
        <w:tc>
          <w:tcPr>
            <w:tcW w:w="7320" w:type="dxa"/>
            <w:gridSpan w:val="4"/>
            <w:tcBorders>
              <w:top w:val="single" w:color="auto" w:sz="4" w:space="0"/>
              <w:left w:val="single" w:color="auto" w:sz="4" w:space="0"/>
              <w:bottom w:val="single" w:color="auto" w:sz="4" w:space="0"/>
              <w:right w:val="nil"/>
            </w:tcBorders>
            <w:noWrap w:val="0"/>
            <w:vAlign w:val="center"/>
          </w:tcPr>
          <w:p>
            <w:pPr>
              <w:widowControl/>
              <w:spacing w:line="400" w:lineRule="exact"/>
              <w:jc w:val="left"/>
              <w:rPr>
                <w:rFonts w:ascii="方正仿宋简体" w:hAnsi="Tahoma" w:eastAsia="方正仿宋简体" w:cs="Tahoma"/>
                <w:kern w:val="0"/>
                <w:sz w:val="16"/>
                <w:szCs w:val="16"/>
              </w:rPr>
            </w:pPr>
            <w:r>
              <w:rPr>
                <w:rFonts w:hint="eastAsia" w:ascii="方正仿宋简体" w:hAnsi="Tahoma" w:eastAsia="方正仿宋简体" w:cs="Tahoma"/>
                <w:kern w:val="0"/>
                <w:sz w:val="16"/>
                <w:szCs w:val="16"/>
              </w:rPr>
              <w:t>总评分（Ｘ）　优秀（Ｘ≥90分)　良好（90＞Ｘ≥75分）合格（75分＞Ｘ≥60分）　不合格（Ｘ＜60分）</w:t>
            </w:r>
          </w:p>
        </w:tc>
      </w:tr>
    </w:tbl>
    <w:p>
      <w:pPr>
        <w:spacing w:line="560" w:lineRule="exact"/>
        <w:ind w:firstLine="420" w:firstLineChars="200"/>
        <w:rPr>
          <w:rFonts w:hint="eastAsia" w:ascii="仿宋_GB2312" w:hAnsi="华文仿宋" w:cs="宋体"/>
          <w:szCs w:val="32"/>
          <w:shd w:val="clear" w:color="auto" w:fill="FFFFFF"/>
          <w:lang w:val="zh-CN"/>
        </w:rPr>
      </w:pPr>
      <w:r>
        <w:rPr>
          <w:rFonts w:hint="eastAsia" w:ascii="仿宋_GB2312" w:hAnsi="华文仿宋" w:cs="宋体"/>
          <w:szCs w:val="32"/>
          <w:shd w:val="clear" w:color="auto" w:fill="FFFFFF"/>
        </w:rPr>
        <w:t>一是细化绩效目标编制，</w:t>
      </w:r>
      <w:r>
        <w:rPr>
          <w:rFonts w:hint="eastAsia" w:ascii="仿宋_GB2312" w:hAnsi="华文仿宋" w:cs="宋体"/>
          <w:szCs w:val="32"/>
          <w:shd w:val="clear" w:color="auto" w:fill="FFFFFF"/>
          <w:lang w:val="zh-CN"/>
        </w:rPr>
        <w:t>进一步提升预算的科学性、合理性；</w:t>
      </w:r>
      <w:r>
        <w:rPr>
          <w:rFonts w:hint="eastAsia" w:ascii="仿宋_GB2312" w:hAnsi="华文仿宋" w:cs="宋体"/>
          <w:szCs w:val="32"/>
          <w:shd w:val="clear" w:color="auto" w:fill="FFFFFF"/>
        </w:rPr>
        <w:t>二是</w:t>
      </w:r>
      <w:r>
        <w:rPr>
          <w:rFonts w:hint="eastAsia" w:ascii="仿宋_GB2312" w:hAnsi="华文仿宋" w:cs="宋体"/>
          <w:szCs w:val="32"/>
          <w:shd w:val="clear" w:color="auto" w:fill="FFFFFF"/>
          <w:lang w:val="zh-CN"/>
        </w:rPr>
        <w:t>加</w:t>
      </w:r>
      <w:r>
        <w:rPr>
          <w:rFonts w:hint="eastAsia" w:ascii="仿宋_GB2312" w:hAnsi="华文仿宋" w:cs="宋体"/>
          <w:szCs w:val="32"/>
          <w:shd w:val="clear" w:color="auto" w:fill="FFFFFF"/>
        </w:rPr>
        <w:t>快资金支付进度</w:t>
      </w:r>
      <w:r>
        <w:rPr>
          <w:rFonts w:hint="eastAsia" w:ascii="仿宋_GB2312" w:hAnsi="华文仿宋" w:cs="宋体"/>
          <w:szCs w:val="32"/>
          <w:shd w:val="clear" w:color="auto" w:fill="FFFFFF"/>
          <w:lang w:val="zh-CN"/>
        </w:rPr>
        <w:t>。</w:t>
      </w:r>
    </w:p>
    <w:p>
      <w:pPr>
        <w:spacing w:line="400" w:lineRule="exact"/>
        <w:rPr>
          <w:rFonts w:eastAsia="方正仿宋_GBK"/>
          <w:szCs w:val="32"/>
          <w:shd w:val="clear" w:color="auto" w:fill="FFFFFF"/>
        </w:rPr>
      </w:pPr>
    </w:p>
    <w:p>
      <w:pPr>
        <w:spacing w:line="560" w:lineRule="exact"/>
        <w:rPr>
          <w:rFonts w:hint="eastAsia" w:eastAsia="方正仿宋_GBK"/>
          <w:szCs w:val="32"/>
          <w:shd w:val="clear" w:color="auto" w:fill="FFFFFF"/>
        </w:rPr>
      </w:pPr>
      <w:r>
        <w:rPr>
          <w:rFonts w:hint="eastAsia" w:eastAsia="方正仿宋_GBK"/>
          <w:szCs w:val="32"/>
          <w:shd w:val="clear" w:color="auto" w:fill="FFFFFF"/>
        </w:rPr>
        <w:t xml:space="preserve">     特此报告。</w:t>
      </w:r>
    </w:p>
    <w:p>
      <w:pPr>
        <w:spacing w:line="560" w:lineRule="exact"/>
        <w:rPr>
          <w:rFonts w:hint="eastAsia" w:eastAsia="方正仿宋_GBK"/>
          <w:szCs w:val="32"/>
          <w:shd w:val="clear" w:color="auto" w:fill="FFFFFF"/>
        </w:rPr>
      </w:pPr>
    </w:p>
    <w:p>
      <w:pPr>
        <w:spacing w:line="560" w:lineRule="exact"/>
        <w:rPr>
          <w:rFonts w:hint="eastAsia" w:eastAsia="方正仿宋_GBK"/>
          <w:szCs w:val="32"/>
          <w:shd w:val="clear" w:color="auto" w:fill="FFFFFF"/>
        </w:rPr>
      </w:pPr>
    </w:p>
    <w:p>
      <w:pPr>
        <w:spacing w:line="560" w:lineRule="exact"/>
        <w:jc w:val="right"/>
        <w:rPr>
          <w:rFonts w:hint="eastAsia" w:eastAsia="方正仿宋_GBK"/>
          <w:szCs w:val="32"/>
          <w:shd w:val="clear" w:color="auto" w:fill="FFFFFF"/>
        </w:rPr>
      </w:pPr>
    </w:p>
    <w:p>
      <w:pPr>
        <w:spacing w:line="560" w:lineRule="exact"/>
        <w:jc w:val="right"/>
        <w:rPr>
          <w:rFonts w:hint="eastAsia" w:eastAsia="方正仿宋_GBK"/>
          <w:szCs w:val="32"/>
          <w:shd w:val="clear" w:color="auto" w:fill="FFFFFF"/>
        </w:rPr>
      </w:pPr>
      <w:r>
        <w:rPr>
          <w:rFonts w:hint="eastAsia" w:eastAsia="方正仿宋_GBK"/>
          <w:szCs w:val="32"/>
          <w:shd w:val="clear" w:color="auto" w:fill="FFFFFF"/>
        </w:rPr>
        <w:t xml:space="preserve">                      巴中市产品质量检验检测中心</w:t>
      </w:r>
    </w:p>
    <w:p>
      <w:pPr>
        <w:spacing w:line="560" w:lineRule="exact"/>
        <w:jc w:val="right"/>
        <w:rPr>
          <w:rFonts w:eastAsia="方正仿宋_GBK"/>
          <w:szCs w:val="32"/>
          <w:shd w:val="clear" w:color="auto" w:fill="FFFFFF"/>
        </w:rPr>
      </w:pPr>
      <w:r>
        <w:rPr>
          <w:rFonts w:hint="eastAsia" w:eastAsia="方正仿宋_GBK"/>
          <w:szCs w:val="32"/>
          <w:shd w:val="clear" w:color="auto" w:fill="FFFFFF"/>
        </w:rPr>
        <w:t xml:space="preserve">                           2023年10月7日</w:t>
      </w:r>
    </w:p>
    <w:p>
      <w:pPr>
        <w:jc w:val="right"/>
        <w:rPr>
          <w:rFonts w:hint="eastAsia"/>
          <w:lang w:val="zh-CN"/>
        </w:rPr>
      </w:pPr>
      <w:r>
        <w:rPr>
          <w:rFonts w:hint="eastAsia" w:hAnsi="宋体" w:cs="宋体"/>
          <w:color w:val="auto"/>
          <w:kern w:val="0"/>
          <w:sz w:val="32"/>
          <w:szCs w:val="32"/>
          <w:highlight w:val="none"/>
          <w:shd w:val="clear" w:color="auto" w:fill="FFFFFF"/>
          <w:lang w:val="zh-CN"/>
        </w:rPr>
        <w:br w:type="page"/>
      </w:r>
    </w:p>
    <w:tbl>
      <w:tblPr>
        <w:tblStyle w:val="1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6"/>
        <w:gridCol w:w="1056"/>
        <w:gridCol w:w="893"/>
        <w:gridCol w:w="1206"/>
        <w:gridCol w:w="396"/>
        <w:gridCol w:w="819"/>
        <w:gridCol w:w="396"/>
        <w:gridCol w:w="846"/>
        <w:gridCol w:w="576"/>
        <w:gridCol w:w="396"/>
        <w:gridCol w:w="13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51190022R000004692824-工资性支出（事业）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严格执行相关政策，保障工资及时发放、足额发放，预算编制科学合理，减少结余资金</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440.43</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465.07</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465.07</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440.43</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465.07</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465.07</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科目调整次数</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足额保障率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按时发放率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结余率（计算方法为：结余数/预算数）</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51190022R000004695144-其他社会保险（事业）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严格执行相关政策，保障工资及时发放、足额发放，预算编制科学合理，减少结余资金</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3.96</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4.14</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4.14</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3.96</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4.14</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4.14</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科目调整次数</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足额保障率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按时发放率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结余率（计算方法为：结余数/预算数）</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51190022R000004696494-遗属生活补助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严格执行相关政策，保障工资及时发放、足额发放，预算编制科学合理，减少结余资金</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0.92</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0.99</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0.99</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0.92</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0.99</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0.99</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科目调整次数</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足额保障率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按时发放率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结余率（计算方法为：结余数/预算数）</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51190022R000005809312-2022年离退休人员生活补助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25.99</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25.99</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25.99</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25.99</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51190022R000006415807-2022年3月发放市本级在职人员基础绩效奖和年度考核奖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306.69</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306.69</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306.69</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306.69</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51190022T000004814656-工业产品监督抽查经费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接受市级市场监督管理部门下达的12类工业产品监督抽查任务。</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4.70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29.40%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4.70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29.40%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抽查任务</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类</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覆盖率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完成时限</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批次成本</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认可率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51190022T000005540176-202101213157-现拨付你单位2021年省级药品监管专项资金如数。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150.65</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150.65</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150.25</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99.73%</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150.65</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150.65</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150.25</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99.73%</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51190023T000008718123-食品药品工业品等安全抽检监测经费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56.00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52.08</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93.01%</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56.00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52.08</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93.01%</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51190021Y000000056098-公用经费（事业）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保障单位日常运转，提高预算编制质量，严格执行预算</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151.92</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151.16</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148.45</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98.21%</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151.92</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151.16</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148.45</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98.21%</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科目调整次数</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预算编制准确率（计算方法为：∣（执行数-预算数）/预算数∣）</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运转保障率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“三公经费”控制率[计算方法为：（三公经费实际支出数/预算安排数]×100%）</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51190021Y000000067674-公务用车运行维护费（事业）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保障单位日常运转，提高预算编制质量，严格执行预算</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11.70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11.70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11.69</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99.95%</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11.70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11.70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11.69</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99.95%</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科目调整次数</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预算编制准确率（计算方法为：∣（执行数-预算数）/预算数∣）</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“三公经费”控制率[计算方法为：（三公经费实际支出数/预算安排数]×100%）</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运转保障率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51190022R000004693426-基本养老保险（事业）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严格执行相关政策，保障工资及时发放、足额发放，预算编制科学合理，减少结余资金</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70.47</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70.47</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70.47</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70.47</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70.47</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70.47</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足额保障率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科目调整次数</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按时发放率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结余率（计算方法为：结余数/预算数）</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51190022R000004693999-医疗保险（事业）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严格执行相关政策，保障工资及时发放、足额发放，预算编制科学合理，减少结余资金</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41.33</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41.33</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41.33</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41.33</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41.33</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41.33</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科目调整次数</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足额保障率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按时发放率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结余率（计算方法为：结余数/预算数）</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51190022R000004695703-住房公积金（事业）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严格执行相关政策，保障工资及时发放、足额发放，预算编制科学合理，减少结余资金</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52.89</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77.18</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77.18</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52.89</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77.18</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77.18</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足额保障率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科目调整次数</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按时发放率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结余率（计算方法为：结余数/预算数）</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51190022R000004697357-独生子女奖励金（事业）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严格执行相关政策，保障工资及时发放、足额发放，预算编制科学合理，减少结余资金</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0.07</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0.07</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0.07</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0.07</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0.07</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0.07</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科目调整次数</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足额保障率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按时发放率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结余率（计算方法为：结余数/预算数）</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51190022R000004701819-退休补充医疗保险（事业）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严格执行相关政策，保障工资及时发放、足额发放，预算编制科学合理，减少结余资金</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0.81</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0.81</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0.81</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0.81</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0.81</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0.81</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科目调整次数</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足额保障率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按时发放率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结余率（计算方法为：结余数/预算数）</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51190022R000005828014-2022年春节前市级部门及驻巴单位在职人员补充发放目标绩效奖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7.51</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7.51</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7.51</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7.51</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51190022R000006416035-2022年3月发放市本级离退休人员生活补助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2.11</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2.11</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2.11</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2.11</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51190022T000004814683-实验室检验检测设备维修护费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保障实验室检验检测设备的正常运行。</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维修数量</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台套</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完好率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完成时限</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设备维修护成本</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认可率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51190022T000004814706-食品药品安全事故应急处置经费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完成食品药品委托检验30批次。</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食品药品委托抽验</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批次</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报告准确率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完成时限</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差旅及专用材料成本</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认可率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51190022T000004995155-食品药品化妆品及道地药材巴食巴适公用品牌监督抽验经费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承担市级食品药品化妆品及道地药材和巴食巴适公用品牌的抽验检验任务。</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批次</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批次</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完成时限</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劳务费</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准确率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51190022T000005540179-202101213162-现拨付你单位2021年市场监管专项资金如数。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51190022T000005564731-202101216285-现拨付你单位郑柱安家补助及工作补贴经费如数。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8.60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8.60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8.60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8.60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8.60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8.60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51190022T000005564734-202101215186-拨付食品药品化妆品抽验检验经费如数。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51190022T000006839926-市级食品安全抽检监测经费的请示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51190022T000006914926-省级药品监管专项经费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53.00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53.00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53.00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53.00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51190022Y000000342585-食堂运行经费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保障单位食堂正常运行，保障职工工作进餐。</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15.12</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15.12</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15.12</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15.12</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15.12</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15.12</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在编在职职工</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63</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食材合格率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完成时限</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劳务及商品服务支出成本</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15.12</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认可率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51190022Y000000342586-党建经费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开展“革命传统教育，党支部结对共建”等活动，强化党员意识，提升党性修养。征订党报党刊等资料，提升党务干部业务能力和理论水平。</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6.30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6.30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6.25</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99.25%</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6.30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6.30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6.25</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99.25%</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征订党报党刊</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类</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完成时限</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办公及差旅成本</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6.3</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认可率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51190022Y000000342595-乡村振兴帮扶工作经费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完成“加强基层组织，发展集体经济，强化村级治理，巩固脱贫攻坚成果与乡村振兴有效衔接，为民办实事”五大职责。</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派出第一书记</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帮扶脱贫村</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达标率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完成时限</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脱贫率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帮扶对象满意度指标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62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7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3"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587"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84"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38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226"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161"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nil"/>
              <w:left w:val="nil"/>
              <w:bottom w:val="nil"/>
              <w:right w:val="nil"/>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51190022Y000004775456-职工体检费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巴中市产品质量检验检测中心部门</w:t>
            </w:r>
          </w:p>
        </w:tc>
        <w:tc>
          <w:tcPr>
            <w:tcW w:w="385"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2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巴中市产品质量检验检测中心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23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保障职工健康体检需要，维护职工生命健康。</w:t>
            </w:r>
          </w:p>
        </w:tc>
        <w:tc>
          <w:tcPr>
            <w:tcW w:w="166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404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13.90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13.90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13.90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13.90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13.90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13.90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9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在职职工</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63</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退休职工</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完成时限</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医疗及医疗补助成本</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13.9</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健康率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7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满意率</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716"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6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475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55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24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bl>
    <w:p>
      <w:pPr>
        <w:spacing w:line="580" w:lineRule="exact"/>
        <w:rPr>
          <w:rStyle w:val="27"/>
          <w:rFonts w:ascii="黑体" w:hAnsi="黑体" w:eastAsia="黑体"/>
          <w:b w:val="0"/>
          <w:color w:val="auto"/>
          <w:highlight w:val="none"/>
        </w:rPr>
      </w:pPr>
    </w:p>
    <w:p>
      <w:pPr>
        <w:widowControl/>
        <w:jc w:val="left"/>
        <w:rPr>
          <w:rStyle w:val="27"/>
          <w:rFonts w:ascii="黑体" w:hAnsi="黑体" w:eastAsia="黑体"/>
          <w:b w:val="0"/>
          <w:color w:val="auto"/>
          <w:highlight w:val="none"/>
        </w:rPr>
      </w:pPr>
      <w:r>
        <w:rPr>
          <w:rStyle w:val="27"/>
          <w:rFonts w:ascii="黑体" w:hAnsi="黑体" w:eastAsia="黑体"/>
          <w:b w:val="0"/>
          <w:color w:val="auto"/>
          <w:highlight w:val="none"/>
        </w:rPr>
        <w:br w:type="page"/>
      </w:r>
    </w:p>
    <w:p>
      <w:pPr>
        <w:spacing w:line="600" w:lineRule="exact"/>
        <w:jc w:val="center"/>
        <w:outlineLvl w:val="0"/>
        <w:rPr>
          <w:rFonts w:hint="eastAsia" w:ascii="仿宋" w:hAnsi="仿宋" w:eastAsia="仿宋"/>
          <w:b w:val="0"/>
          <w:color w:val="auto"/>
          <w:highlight w:val="none"/>
        </w:rPr>
      </w:pPr>
      <w:bookmarkStart w:id="78" w:name="_Toc22884"/>
      <w:bookmarkStart w:id="79" w:name="_Toc15396618"/>
      <w:r>
        <w:rPr>
          <w:rFonts w:hint="eastAsia" w:ascii="黑体" w:hAnsi="黑体" w:eastAsia="黑体"/>
          <w:color w:val="auto"/>
          <w:sz w:val="44"/>
          <w:szCs w:val="44"/>
          <w:highlight w:val="none"/>
        </w:rPr>
        <w:t>第</w:t>
      </w:r>
      <w:r>
        <w:rPr>
          <w:rStyle w:val="27"/>
          <w:rFonts w:hint="eastAsia" w:ascii="黑体" w:hAnsi="黑体" w:eastAsia="黑体"/>
          <w:b w:val="0"/>
          <w:color w:val="auto"/>
          <w:highlight w:val="none"/>
        </w:rPr>
        <w:t>五部分 附表</w:t>
      </w:r>
      <w:bookmarkEnd w:id="73"/>
      <w:bookmarkEnd w:id="78"/>
      <w:bookmarkEnd w:id="79"/>
      <w:bookmarkStart w:id="80" w:name="_Toc15396619"/>
    </w:p>
    <w:p>
      <w:pPr>
        <w:pStyle w:val="3"/>
        <w:rPr>
          <w:rFonts w:ascii="仿宋" w:hAnsi="仿宋" w:eastAsia="仿宋"/>
          <w:color w:val="auto"/>
          <w:highlight w:val="none"/>
        </w:rPr>
      </w:pPr>
      <w:bookmarkStart w:id="81" w:name="_Toc2757"/>
      <w:r>
        <w:rPr>
          <w:rFonts w:hint="eastAsia" w:ascii="仿宋" w:hAnsi="仿宋" w:eastAsia="仿宋"/>
          <w:b w:val="0"/>
          <w:color w:val="auto"/>
          <w:highlight w:val="none"/>
        </w:rPr>
        <w:t>一、收</w:t>
      </w:r>
      <w:r>
        <w:rPr>
          <w:rStyle w:val="28"/>
          <w:rFonts w:hint="eastAsia" w:ascii="仿宋" w:hAnsi="仿宋" w:eastAsia="仿宋"/>
          <w:b w:val="0"/>
          <w:bCs w:val="0"/>
          <w:color w:val="auto"/>
          <w:highlight w:val="none"/>
        </w:rPr>
        <w:t>入支出决算总表</w:t>
      </w:r>
      <w:bookmarkEnd w:id="80"/>
      <w:bookmarkEnd w:id="81"/>
    </w:p>
    <w:p>
      <w:pPr>
        <w:pStyle w:val="3"/>
        <w:rPr>
          <w:rFonts w:ascii="仿宋" w:hAnsi="仿宋" w:eastAsia="仿宋"/>
          <w:color w:val="auto"/>
          <w:highlight w:val="none"/>
        </w:rPr>
      </w:pPr>
      <w:bookmarkStart w:id="82" w:name="_Toc15396620"/>
      <w:bookmarkStart w:id="83" w:name="_Toc29781"/>
      <w:r>
        <w:rPr>
          <w:rFonts w:hint="eastAsia" w:ascii="仿宋" w:hAnsi="仿宋" w:eastAsia="仿宋"/>
          <w:b w:val="0"/>
          <w:color w:val="auto"/>
          <w:highlight w:val="none"/>
        </w:rPr>
        <w:t>二、收</w:t>
      </w:r>
      <w:r>
        <w:rPr>
          <w:rStyle w:val="28"/>
          <w:rFonts w:hint="eastAsia" w:ascii="仿宋" w:hAnsi="仿宋" w:eastAsia="仿宋"/>
          <w:b w:val="0"/>
          <w:bCs w:val="0"/>
          <w:color w:val="auto"/>
          <w:highlight w:val="none"/>
        </w:rPr>
        <w:t>入决算表</w:t>
      </w:r>
      <w:bookmarkEnd w:id="82"/>
      <w:bookmarkEnd w:id="83"/>
    </w:p>
    <w:p>
      <w:pPr>
        <w:pStyle w:val="3"/>
        <w:rPr>
          <w:rFonts w:ascii="仿宋" w:hAnsi="仿宋" w:eastAsia="仿宋"/>
          <w:color w:val="auto"/>
          <w:highlight w:val="none"/>
        </w:rPr>
      </w:pPr>
      <w:bookmarkStart w:id="84" w:name="_Toc32502"/>
      <w:bookmarkStart w:id="85" w:name="_Toc15396621"/>
      <w:r>
        <w:rPr>
          <w:rStyle w:val="28"/>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28"/>
          <w:rFonts w:hint="eastAsia" w:ascii="仿宋" w:hAnsi="仿宋" w:eastAsia="仿宋"/>
          <w:b w:val="0"/>
          <w:bCs w:val="0"/>
          <w:color w:val="auto"/>
          <w:highlight w:val="none"/>
        </w:rPr>
        <w:t>出决算表</w:t>
      </w:r>
      <w:bookmarkEnd w:id="84"/>
      <w:bookmarkEnd w:id="85"/>
    </w:p>
    <w:p>
      <w:pPr>
        <w:pStyle w:val="3"/>
        <w:rPr>
          <w:rFonts w:ascii="仿宋" w:hAnsi="仿宋" w:eastAsia="仿宋"/>
          <w:b w:val="0"/>
          <w:color w:val="auto"/>
          <w:highlight w:val="none"/>
        </w:rPr>
      </w:pPr>
      <w:bookmarkStart w:id="86" w:name="_Toc15396622"/>
      <w:bookmarkStart w:id="87" w:name="_Toc2005"/>
      <w:r>
        <w:rPr>
          <w:rStyle w:val="28"/>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28"/>
          <w:rFonts w:hint="eastAsia" w:ascii="仿宋" w:hAnsi="仿宋" w:eastAsia="仿宋"/>
          <w:b w:val="0"/>
          <w:bCs w:val="0"/>
          <w:color w:val="auto"/>
          <w:highlight w:val="none"/>
        </w:rPr>
        <w:t>政拨款收入支出决算总表</w:t>
      </w:r>
      <w:bookmarkEnd w:id="86"/>
      <w:bookmarkEnd w:id="87"/>
    </w:p>
    <w:p>
      <w:pPr>
        <w:pStyle w:val="3"/>
        <w:rPr>
          <w:rStyle w:val="28"/>
          <w:rFonts w:ascii="仿宋" w:hAnsi="仿宋" w:eastAsia="仿宋"/>
          <w:b w:val="0"/>
          <w:bCs w:val="0"/>
          <w:color w:val="auto"/>
          <w:highlight w:val="none"/>
        </w:rPr>
      </w:pPr>
      <w:bookmarkStart w:id="88" w:name="_Toc15396623"/>
      <w:bookmarkStart w:id="89" w:name="_Toc14055"/>
      <w:r>
        <w:rPr>
          <w:rStyle w:val="28"/>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28"/>
          <w:rFonts w:hint="eastAsia" w:ascii="仿宋" w:hAnsi="仿宋" w:eastAsia="仿宋"/>
          <w:b w:val="0"/>
          <w:bCs w:val="0"/>
          <w:color w:val="auto"/>
          <w:highlight w:val="none"/>
        </w:rPr>
        <w:t>政拨款支出决算明细表</w:t>
      </w:r>
      <w:bookmarkEnd w:id="88"/>
      <w:bookmarkEnd w:id="89"/>
      <w:bookmarkStart w:id="90" w:name="_Toc15396624"/>
    </w:p>
    <w:p>
      <w:pPr>
        <w:pStyle w:val="3"/>
        <w:rPr>
          <w:rFonts w:ascii="仿宋" w:hAnsi="仿宋" w:eastAsia="仿宋"/>
          <w:color w:val="auto"/>
          <w:highlight w:val="none"/>
        </w:rPr>
      </w:pPr>
      <w:bookmarkStart w:id="91" w:name="_Toc16595"/>
      <w:r>
        <w:rPr>
          <w:rStyle w:val="28"/>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28"/>
          <w:rFonts w:hint="eastAsia" w:ascii="仿宋" w:hAnsi="仿宋" w:eastAsia="仿宋"/>
          <w:b w:val="0"/>
          <w:bCs w:val="0"/>
          <w:color w:val="auto"/>
          <w:highlight w:val="none"/>
        </w:rPr>
        <w:t>般公共预算财政拨款支出决算表</w:t>
      </w:r>
      <w:bookmarkEnd w:id="90"/>
      <w:bookmarkEnd w:id="91"/>
    </w:p>
    <w:p>
      <w:pPr>
        <w:pStyle w:val="3"/>
        <w:rPr>
          <w:rFonts w:ascii="仿宋" w:hAnsi="仿宋" w:eastAsia="仿宋"/>
          <w:color w:val="auto"/>
          <w:highlight w:val="none"/>
        </w:rPr>
      </w:pPr>
      <w:bookmarkStart w:id="92" w:name="_Toc15396625"/>
      <w:bookmarkStart w:id="93" w:name="_Toc16663"/>
      <w:r>
        <w:rPr>
          <w:rStyle w:val="28"/>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28"/>
          <w:rFonts w:hint="eastAsia" w:ascii="仿宋" w:hAnsi="仿宋" w:eastAsia="仿宋"/>
          <w:b w:val="0"/>
          <w:bCs w:val="0"/>
          <w:color w:val="auto"/>
          <w:highlight w:val="none"/>
        </w:rPr>
        <w:t>般公共预算财政拨款支出决算明细表</w:t>
      </w:r>
      <w:bookmarkEnd w:id="92"/>
      <w:bookmarkEnd w:id="93"/>
    </w:p>
    <w:p>
      <w:pPr>
        <w:pStyle w:val="3"/>
        <w:rPr>
          <w:rFonts w:ascii="仿宋" w:hAnsi="仿宋" w:eastAsia="仿宋"/>
          <w:color w:val="auto"/>
          <w:highlight w:val="none"/>
        </w:rPr>
      </w:pPr>
      <w:bookmarkStart w:id="94" w:name="_Toc31712"/>
      <w:bookmarkStart w:id="95" w:name="_Toc15396626"/>
      <w:r>
        <w:rPr>
          <w:rStyle w:val="28"/>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28"/>
          <w:rFonts w:hint="eastAsia" w:ascii="仿宋" w:hAnsi="仿宋" w:eastAsia="仿宋"/>
          <w:b w:val="0"/>
          <w:bCs w:val="0"/>
          <w:color w:val="auto"/>
          <w:highlight w:val="none"/>
        </w:rPr>
        <w:t>般公共预算财政拨款基本支出决算表</w:t>
      </w:r>
      <w:bookmarkEnd w:id="94"/>
      <w:bookmarkEnd w:id="95"/>
    </w:p>
    <w:p>
      <w:pPr>
        <w:pStyle w:val="3"/>
        <w:rPr>
          <w:rFonts w:ascii="仿宋" w:hAnsi="仿宋" w:eastAsia="仿宋"/>
          <w:color w:val="auto"/>
          <w:highlight w:val="none"/>
        </w:rPr>
      </w:pPr>
      <w:bookmarkStart w:id="96" w:name="_Toc15396627"/>
      <w:bookmarkStart w:id="97" w:name="_Toc6077"/>
      <w:r>
        <w:rPr>
          <w:rStyle w:val="28"/>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28"/>
          <w:rFonts w:hint="eastAsia" w:ascii="仿宋" w:hAnsi="仿宋" w:eastAsia="仿宋"/>
          <w:b w:val="0"/>
          <w:bCs w:val="0"/>
          <w:color w:val="auto"/>
          <w:highlight w:val="none"/>
        </w:rPr>
        <w:t>般公共预算财政拨款项目支出决算表</w:t>
      </w:r>
      <w:bookmarkEnd w:id="96"/>
      <w:bookmarkEnd w:id="97"/>
    </w:p>
    <w:p>
      <w:pPr>
        <w:pStyle w:val="3"/>
        <w:rPr>
          <w:rFonts w:ascii="仿宋" w:hAnsi="仿宋" w:eastAsia="仿宋"/>
          <w:color w:val="auto"/>
          <w:highlight w:val="none"/>
        </w:rPr>
      </w:pPr>
      <w:bookmarkStart w:id="98" w:name="_Toc15396628"/>
      <w:bookmarkStart w:id="99" w:name="_Toc8880"/>
      <w:r>
        <w:rPr>
          <w:rStyle w:val="28"/>
          <w:rFonts w:hint="eastAsia" w:ascii="仿宋" w:hAnsi="仿宋" w:eastAsia="仿宋"/>
          <w:b w:val="0"/>
          <w:bCs w:val="0"/>
          <w:color w:val="auto"/>
          <w:highlight w:val="none"/>
        </w:rPr>
        <w:t>十、</w:t>
      </w:r>
      <w:bookmarkEnd w:id="98"/>
      <w:r>
        <w:rPr>
          <w:rFonts w:hint="eastAsia" w:ascii="仿宋" w:hAnsi="仿宋" w:eastAsia="仿宋"/>
          <w:b w:val="0"/>
          <w:color w:val="auto"/>
          <w:highlight w:val="none"/>
        </w:rPr>
        <w:t>政</w:t>
      </w:r>
      <w:r>
        <w:rPr>
          <w:rStyle w:val="28"/>
          <w:rFonts w:hint="eastAsia" w:ascii="仿宋" w:hAnsi="仿宋" w:eastAsia="仿宋"/>
          <w:b w:val="0"/>
          <w:bCs w:val="0"/>
          <w:color w:val="auto"/>
          <w:highlight w:val="none"/>
        </w:rPr>
        <w:t>府性基金预算财政拨款收入支出决算表</w:t>
      </w:r>
      <w:bookmarkEnd w:id="99"/>
    </w:p>
    <w:p>
      <w:pPr>
        <w:pStyle w:val="3"/>
        <w:rPr>
          <w:rFonts w:ascii="仿宋" w:hAnsi="仿宋" w:eastAsia="仿宋"/>
          <w:color w:val="auto"/>
          <w:highlight w:val="none"/>
        </w:rPr>
      </w:pPr>
      <w:bookmarkStart w:id="100" w:name="_Toc15396629"/>
      <w:bookmarkStart w:id="101" w:name="_Toc23717"/>
      <w:r>
        <w:rPr>
          <w:rStyle w:val="28"/>
          <w:rFonts w:hint="eastAsia" w:ascii="仿宋" w:hAnsi="仿宋" w:eastAsia="仿宋"/>
          <w:b w:val="0"/>
          <w:bCs w:val="0"/>
          <w:color w:val="auto"/>
          <w:highlight w:val="none"/>
        </w:rPr>
        <w:t>十一、</w:t>
      </w:r>
      <w:bookmarkEnd w:id="100"/>
      <w:r>
        <w:rPr>
          <w:rFonts w:hint="eastAsia" w:ascii="仿宋" w:hAnsi="仿宋" w:eastAsia="仿宋"/>
          <w:b w:val="0"/>
          <w:color w:val="auto"/>
          <w:highlight w:val="none"/>
        </w:rPr>
        <w:t>国</w:t>
      </w:r>
      <w:r>
        <w:rPr>
          <w:rStyle w:val="28"/>
          <w:rFonts w:hint="eastAsia" w:ascii="仿宋" w:hAnsi="仿宋" w:eastAsia="仿宋"/>
          <w:b w:val="0"/>
          <w:bCs w:val="0"/>
          <w:color w:val="auto"/>
          <w:highlight w:val="none"/>
        </w:rPr>
        <w:t>有资本经营预算</w:t>
      </w:r>
      <w:r>
        <w:rPr>
          <w:rStyle w:val="28"/>
          <w:rFonts w:hint="eastAsia" w:ascii="仿宋" w:hAnsi="仿宋" w:eastAsia="仿宋"/>
          <w:b w:val="0"/>
          <w:bCs w:val="0"/>
          <w:color w:val="auto"/>
          <w:highlight w:val="none"/>
          <w:lang w:eastAsia="zh-CN"/>
        </w:rPr>
        <w:t>财政拨款收入</w:t>
      </w:r>
      <w:r>
        <w:rPr>
          <w:rStyle w:val="28"/>
          <w:rFonts w:hint="eastAsia" w:ascii="仿宋" w:hAnsi="仿宋" w:eastAsia="仿宋"/>
          <w:b w:val="0"/>
          <w:bCs w:val="0"/>
          <w:color w:val="auto"/>
          <w:highlight w:val="none"/>
        </w:rPr>
        <w:t>支出决算表</w:t>
      </w:r>
      <w:bookmarkEnd w:id="101"/>
    </w:p>
    <w:p>
      <w:pPr>
        <w:pStyle w:val="3"/>
        <w:rPr>
          <w:rFonts w:ascii="仿宋" w:hAnsi="仿宋" w:eastAsia="仿宋"/>
          <w:color w:val="auto"/>
          <w:highlight w:val="none"/>
        </w:rPr>
      </w:pPr>
      <w:bookmarkStart w:id="102" w:name="_Toc15396630"/>
      <w:bookmarkStart w:id="103" w:name="_Toc31497"/>
      <w:r>
        <w:rPr>
          <w:rStyle w:val="28"/>
          <w:rFonts w:hint="eastAsia" w:ascii="仿宋" w:hAnsi="仿宋" w:eastAsia="仿宋"/>
          <w:b w:val="0"/>
          <w:bCs w:val="0"/>
          <w:color w:val="auto"/>
          <w:highlight w:val="none"/>
        </w:rPr>
        <w:t>十二、</w:t>
      </w:r>
      <w:bookmarkEnd w:id="102"/>
      <w:r>
        <w:rPr>
          <w:rStyle w:val="28"/>
          <w:rFonts w:hint="eastAsia" w:ascii="仿宋" w:hAnsi="仿宋" w:eastAsia="仿宋"/>
          <w:b w:val="0"/>
          <w:bCs w:val="0"/>
          <w:color w:val="auto"/>
          <w:highlight w:val="none"/>
          <w:lang w:eastAsia="zh-CN"/>
        </w:rPr>
        <w:t>国有资本经营预算财政拨款支出决算表</w:t>
      </w:r>
      <w:bookmarkEnd w:id="103"/>
    </w:p>
    <w:p>
      <w:pPr>
        <w:pStyle w:val="3"/>
        <w:rPr>
          <w:rFonts w:hint="eastAsia" w:eastAsia="仿宋"/>
          <w:color w:val="auto"/>
          <w:highlight w:val="none"/>
          <w:lang w:eastAsia="zh-CN"/>
        </w:rPr>
      </w:pPr>
      <w:bookmarkStart w:id="104" w:name="_Toc15396631"/>
      <w:bookmarkStart w:id="105" w:name="_Toc25862"/>
      <w:r>
        <w:rPr>
          <w:rStyle w:val="28"/>
          <w:rFonts w:hint="eastAsia" w:ascii="仿宋" w:hAnsi="仿宋" w:eastAsia="仿宋"/>
          <w:b w:val="0"/>
          <w:bCs w:val="0"/>
          <w:color w:val="auto"/>
          <w:highlight w:val="none"/>
        </w:rPr>
        <w:t>十三、</w:t>
      </w:r>
      <w:bookmarkEnd w:id="104"/>
      <w:r>
        <w:rPr>
          <w:rStyle w:val="28"/>
          <w:rFonts w:hint="eastAsia" w:ascii="仿宋" w:hAnsi="仿宋" w:eastAsia="仿宋"/>
          <w:b w:val="0"/>
          <w:bCs w:val="0"/>
          <w:color w:val="auto"/>
          <w:highlight w:val="none"/>
          <w:lang w:eastAsia="zh-CN"/>
        </w:rPr>
        <w:t>财政拨款“三公”经费支出决算表</w:t>
      </w:r>
      <w:bookmarkEnd w:id="105"/>
    </w:p>
    <w:sectPr>
      <w:footerReference r:id="rId5" w:type="first"/>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7DCAC13-9431-4FFE-BA97-9F2F76E147C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7B928962-EEAE-4410-B777-80C32D63F154}"/>
  </w:font>
  <w:font w:name="仿宋_GB2312">
    <w:panose1 w:val="02010609030101010101"/>
    <w:charset w:val="86"/>
    <w:family w:val="modern"/>
    <w:pitch w:val="default"/>
    <w:sig w:usb0="00000001" w:usb1="080E0000" w:usb2="00000000" w:usb3="00000000" w:csb0="00040000" w:csb1="00000000"/>
    <w:embedRegular r:id="rId3" w:fontKey="{8D2D0C05-B9FC-460E-8BE3-6A099E61BDBE}"/>
  </w:font>
  <w:font w:name="仿宋">
    <w:panose1 w:val="02010609060101010101"/>
    <w:charset w:val="86"/>
    <w:family w:val="modern"/>
    <w:pitch w:val="default"/>
    <w:sig w:usb0="800002BF" w:usb1="38CF7CFA" w:usb2="00000016" w:usb3="00000000" w:csb0="00040001" w:csb1="00000000"/>
    <w:embedRegular r:id="rId4" w:fontKey="{0E60013A-846B-4DC4-A81D-B23C8C0656B8}"/>
  </w:font>
  <w:font w:name="??">
    <w:altName w:val="Times New Roman"/>
    <w:panose1 w:val="00000000000000000000"/>
    <w:charset w:val="00"/>
    <w:family w:val="roman"/>
    <w:pitch w:val="default"/>
    <w:sig w:usb0="00000000" w:usb1="00000000" w:usb2="00000000" w:usb3="00000000" w:csb0="00000000" w:csb1="00000000"/>
  </w:font>
  <w:font w:name="方正小标宋简体">
    <w:panose1 w:val="02000000000000000000"/>
    <w:charset w:val="86"/>
    <w:family w:val="script"/>
    <w:pitch w:val="default"/>
    <w:sig w:usb0="00000001" w:usb1="08000000" w:usb2="00000000" w:usb3="00000000" w:csb0="00040000" w:csb1="00000000"/>
    <w:embedRegular r:id="rId5" w:fontKey="{F9C3D2DB-27C4-41C4-806F-5F38D7BCF0E4}"/>
  </w:font>
  <w:font w:name="方正黑体_GBK">
    <w:altName w:val="微软雅黑"/>
    <w:panose1 w:val="02000000000000000000"/>
    <w:charset w:val="86"/>
    <w:family w:val="script"/>
    <w:pitch w:val="default"/>
    <w:sig w:usb0="00000000" w:usb1="00000000" w:usb2="00000000" w:usb3="00000000" w:csb0="00040000" w:csb1="00000000"/>
    <w:embedRegular r:id="rId6" w:fontKey="{7A5A47D3-5398-4B56-B8B6-08623A17CF7B}"/>
  </w:font>
  <w:font w:name="方正楷体_GBK">
    <w:panose1 w:val="02000000000000000000"/>
    <w:charset w:val="86"/>
    <w:family w:val="script"/>
    <w:pitch w:val="default"/>
    <w:sig w:usb0="800002BF" w:usb1="38CF7CFA" w:usb2="00000016" w:usb3="00000000" w:csb0="00040000" w:csb1="00000000"/>
    <w:embedRegular r:id="rId7" w:fontKey="{E6740251-49EC-445E-8910-B15EC4D84DD9}"/>
  </w:font>
  <w:font w:name="方正仿宋_GBK">
    <w:panose1 w:val="03000509000000000000"/>
    <w:charset w:val="86"/>
    <w:family w:val="script"/>
    <w:pitch w:val="default"/>
    <w:sig w:usb0="00000001" w:usb1="080E0000" w:usb2="00000000" w:usb3="00000000" w:csb0="00040000" w:csb1="00000000"/>
    <w:embedRegular r:id="rId8" w:fontKey="{5BF24463-FB8D-4E3A-AFF6-20A6A865BED7}"/>
  </w:font>
  <w:font w:name="华文仿宋">
    <w:panose1 w:val="02010600040101010101"/>
    <w:charset w:val="86"/>
    <w:family w:val="auto"/>
    <w:pitch w:val="default"/>
    <w:sig w:usb0="00000287" w:usb1="080F0000" w:usb2="00000000" w:usb3="00000000" w:csb0="0004009F" w:csb1="DFD70000"/>
    <w:embedRegular r:id="rId9" w:fontKey="{63AA25DD-FC80-4EC5-9517-D4F6AA6D64D2}"/>
  </w:font>
  <w:font w:name="Tahoma">
    <w:panose1 w:val="020B0604030504040204"/>
    <w:charset w:val="00"/>
    <w:family w:val="swiss"/>
    <w:pitch w:val="default"/>
    <w:sig w:usb0="E1002EFF" w:usb1="C000605B" w:usb2="00000029" w:usb3="00000000" w:csb0="200101FF" w:csb1="20280000"/>
    <w:embedRegular r:id="rId10" w:fontKey="{27C90628-179B-44F1-BDFE-A05298653B94}"/>
  </w:font>
  <w:font w:name="方正仿宋简体">
    <w:panose1 w:val="03000509000000000000"/>
    <w:charset w:val="86"/>
    <w:family w:val="auto"/>
    <w:pitch w:val="default"/>
    <w:sig w:usb0="00000001" w:usb1="080E0000" w:usb2="00000000" w:usb3="00000000" w:csb0="00040000" w:csb1="00000000"/>
    <w:embedRegular r:id="rId11" w:fontKey="{036BE6C0-A834-4657-A234-02A1B2E66A6E}"/>
  </w:font>
  <w:font w:name="微软雅黑">
    <w:panose1 w:val="020B0503020204020204"/>
    <w:charset w:val="86"/>
    <w:family w:val="auto"/>
    <w:pitch w:val="default"/>
    <w:sig w:usb0="80000287" w:usb1="2ACF3C50" w:usb2="00000016" w:usb3="00000000" w:csb0="0004001F" w:csb1="00000000"/>
    <w:embedRegular r:id="rId12" w:fontKey="{D0658DBB-CFD1-4AEC-82F7-AB8CF6DB27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4781956"/>
                          </w:sdtPr>
                          <w:sdtContent>
                            <w:p>
                              <w:pPr>
                                <w:pStyle w:val="9"/>
                                <w:jc w:val="center"/>
                              </w:pPr>
                              <w:r>
                                <w:fldChar w:fldCharType="begin"/>
                              </w:r>
                              <w:r>
                                <w:instrText xml:space="preserve">PAGE   \* MERGEFORMAT</w:instrText>
                              </w:r>
                              <w:r>
                                <w:fldChar w:fldCharType="separate"/>
                              </w:r>
                              <w:r>
                                <w:rPr>
                                  <w:lang w:val="zh-CN"/>
                                </w:rPr>
                                <w:t>8</w:t>
                              </w:r>
                              <w:r>
                                <w:fldChar w:fldCharType="end"/>
                              </w:r>
                            </w:p>
                          </w:sdtContent>
                        </w:sdt>
                        <w:p>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994781956"/>
                    </w:sdtPr>
                    <w:sdtContent>
                      <w:p>
                        <w:pPr>
                          <w:pStyle w:val="9"/>
                          <w:jc w:val="center"/>
                        </w:pPr>
                        <w:r>
                          <w:fldChar w:fldCharType="begin"/>
                        </w:r>
                        <w:r>
                          <w:instrText xml:space="preserve">PAGE   \* MERGEFORMAT</w:instrText>
                        </w:r>
                        <w:r>
                          <w:fldChar w:fldCharType="separate"/>
                        </w:r>
                        <w:r>
                          <w:rPr>
                            <w:lang w:val="zh-CN"/>
                          </w:rPr>
                          <w:t>8</w:t>
                        </w:r>
                        <w:r>
                          <w:fldChar w:fldCharType="end"/>
                        </w:r>
                      </w:p>
                    </w:sdtContent>
                  </w:sdt>
                  <w:p>
                    <w:pPr>
                      <w:pStyle w:val="5"/>
                    </w:pPr>
                  </w:p>
                </w:txbxContent>
              </v:textbox>
            </v:shape>
          </w:pict>
        </mc:Fallback>
      </mc:AlternateContent>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rPr>
    </w:lvl>
  </w:abstractNum>
  <w:abstractNum w:abstractNumId="2">
    <w:nsid w:val="12510EFB"/>
    <w:multiLevelType w:val="singleLevel"/>
    <w:tmpl w:val="12510EFB"/>
    <w:lvl w:ilvl="0" w:tentative="0">
      <w:start w:val="3"/>
      <w:numFmt w:val="chineseCounting"/>
      <w:suff w:val="nothing"/>
      <w:lvlText w:val="（%1）"/>
      <w:lvlJc w:val="left"/>
      <w:rPr>
        <w:rFonts w:hint="eastAsia"/>
      </w:rPr>
    </w:lvl>
  </w:abstractNum>
  <w:abstractNum w:abstractNumId="3">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2ZmMyMGQzNmZlNTM3YmNjYmYzZGJlZDVmMGE2Nzk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5975B8"/>
    <w:rsid w:val="02143E91"/>
    <w:rsid w:val="02554FB3"/>
    <w:rsid w:val="0411506E"/>
    <w:rsid w:val="066E0107"/>
    <w:rsid w:val="07924270"/>
    <w:rsid w:val="07996F6E"/>
    <w:rsid w:val="0887492D"/>
    <w:rsid w:val="0A2032A3"/>
    <w:rsid w:val="0A6E5D8A"/>
    <w:rsid w:val="0F98263C"/>
    <w:rsid w:val="101860EC"/>
    <w:rsid w:val="109A2741"/>
    <w:rsid w:val="10C055FF"/>
    <w:rsid w:val="118107EC"/>
    <w:rsid w:val="13D50BC4"/>
    <w:rsid w:val="16BB723D"/>
    <w:rsid w:val="16C823BA"/>
    <w:rsid w:val="1BE8440E"/>
    <w:rsid w:val="1D155CEE"/>
    <w:rsid w:val="1E6650EA"/>
    <w:rsid w:val="1F114BB2"/>
    <w:rsid w:val="1F776677"/>
    <w:rsid w:val="1FF35744"/>
    <w:rsid w:val="21CE6F9C"/>
    <w:rsid w:val="22414C51"/>
    <w:rsid w:val="23567100"/>
    <w:rsid w:val="23860B96"/>
    <w:rsid w:val="23882D55"/>
    <w:rsid w:val="240371BF"/>
    <w:rsid w:val="25190F23"/>
    <w:rsid w:val="26727C5E"/>
    <w:rsid w:val="29FD04D3"/>
    <w:rsid w:val="2B966A97"/>
    <w:rsid w:val="2C8A61B5"/>
    <w:rsid w:val="2CFF5057"/>
    <w:rsid w:val="2DF04E50"/>
    <w:rsid w:val="2F040D46"/>
    <w:rsid w:val="319F7F4E"/>
    <w:rsid w:val="3304709D"/>
    <w:rsid w:val="35E75191"/>
    <w:rsid w:val="36AA5135"/>
    <w:rsid w:val="376D39B2"/>
    <w:rsid w:val="37E16F03"/>
    <w:rsid w:val="387602DD"/>
    <w:rsid w:val="38D469F0"/>
    <w:rsid w:val="393873DF"/>
    <w:rsid w:val="3D98207C"/>
    <w:rsid w:val="3E78745D"/>
    <w:rsid w:val="44E268DA"/>
    <w:rsid w:val="49A96581"/>
    <w:rsid w:val="4A627F82"/>
    <w:rsid w:val="4B0E749A"/>
    <w:rsid w:val="4B4F25DA"/>
    <w:rsid w:val="4BE068DB"/>
    <w:rsid w:val="4D577224"/>
    <w:rsid w:val="4EAB630A"/>
    <w:rsid w:val="4ECE2238"/>
    <w:rsid w:val="532A5E5A"/>
    <w:rsid w:val="537E6D0A"/>
    <w:rsid w:val="559B2FF3"/>
    <w:rsid w:val="5AF92295"/>
    <w:rsid w:val="5CD71FC4"/>
    <w:rsid w:val="64F51FF5"/>
    <w:rsid w:val="6B6B1F80"/>
    <w:rsid w:val="6C4A05C8"/>
    <w:rsid w:val="6E7E3605"/>
    <w:rsid w:val="6FF5CC65"/>
    <w:rsid w:val="715C0E4B"/>
    <w:rsid w:val="72734D90"/>
    <w:rsid w:val="73AD73D5"/>
    <w:rsid w:val="73B6EB34"/>
    <w:rsid w:val="744731E5"/>
    <w:rsid w:val="74F63F29"/>
    <w:rsid w:val="76E3355F"/>
    <w:rsid w:val="778769C8"/>
    <w:rsid w:val="790E0FE8"/>
    <w:rsid w:val="79EE5BA4"/>
    <w:rsid w:val="7A894339"/>
    <w:rsid w:val="7AEC35AA"/>
    <w:rsid w:val="7E6F60A9"/>
    <w:rsid w:val="7EEF11D3"/>
    <w:rsid w:val="7FA30C79"/>
    <w:rsid w:val="7FB7269E"/>
    <w:rsid w:val="7FC96657"/>
    <w:rsid w:val="D8D6DB89"/>
    <w:rsid w:val="DB6F4CAB"/>
    <w:rsid w:val="DF6F97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spacing w:before="260" w:after="260" w:line="416" w:lineRule="auto"/>
      <w:outlineLvl w:val="2"/>
    </w:pPr>
    <w:rPr>
      <w:b/>
      <w:bCs/>
      <w:sz w:val="32"/>
      <w:szCs w:val="32"/>
    </w:rPr>
  </w:style>
  <w:style w:type="character" w:default="1" w:styleId="15">
    <w:name w:val="Default Paragraph Font"/>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Body Text"/>
    <w:basedOn w:val="1"/>
    <w:next w:val="1"/>
    <w:link w:val="24"/>
    <w:qFormat/>
    <w:uiPriority w:val="99"/>
    <w:pPr>
      <w:spacing w:beforeLines="30"/>
    </w:pPr>
    <w:rPr>
      <w:rFonts w:ascii="仿宋_GB2312" w:eastAsia="仿宋_GB2312"/>
      <w:kern w:val="0"/>
      <w:sz w:val="30"/>
    </w:rPr>
  </w:style>
  <w:style w:type="paragraph" w:styleId="6">
    <w:name w:val="Body Text Indent"/>
    <w:basedOn w:val="1"/>
    <w:qFormat/>
    <w:uiPriority w:val="0"/>
    <w:pPr>
      <w:spacing w:after="120"/>
      <w:ind w:leftChars="200"/>
    </w:pPr>
    <w:rPr>
      <w:rFonts w:ascii="仿宋_GB2312"/>
      <w:szCs w:val="32"/>
    </w:rPr>
  </w:style>
  <w:style w:type="paragraph" w:styleId="7">
    <w:name w:val="toc 3"/>
    <w:basedOn w:val="1"/>
    <w:next w:val="1"/>
    <w:unhideWhenUsed/>
    <w:qFormat/>
    <w:uiPriority w:val="39"/>
    <w:pPr>
      <w:tabs>
        <w:tab w:val="right" w:leader="dot" w:pos="8296"/>
      </w:tabs>
      <w:ind w:left="840" w:leftChars="400"/>
    </w:pPr>
  </w:style>
  <w:style w:type="paragraph" w:styleId="8">
    <w:name w:val="Balloon Text"/>
    <w:basedOn w:val="1"/>
    <w:link w:val="30"/>
    <w:semiHidden/>
    <w:unhideWhenUsed/>
    <w:qFormat/>
    <w:uiPriority w:val="99"/>
    <w:rPr>
      <w:sz w:val="18"/>
      <w:szCs w:val="18"/>
    </w:rPr>
  </w:style>
  <w:style w:type="paragraph" w:styleId="9">
    <w:name w:val="footer"/>
    <w:basedOn w:val="1"/>
    <w:link w:val="22"/>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20"/>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toc 2"/>
    <w:basedOn w:val="1"/>
    <w:next w:val="1"/>
    <w:unhideWhenUsed/>
    <w:qFormat/>
    <w:uiPriority w:val="39"/>
    <w:pPr>
      <w:tabs>
        <w:tab w:val="right" w:leader="dot" w:pos="8296"/>
      </w:tabs>
      <w:ind w:left="420" w:leftChars="200"/>
    </w:pPr>
  </w:style>
  <w:style w:type="paragraph" w:styleId="13">
    <w:name w:val="Body Text First Indent 2"/>
    <w:basedOn w:val="6"/>
    <w:unhideWhenUsed/>
    <w:qFormat/>
    <w:uiPriority w:val="99"/>
    <w:pPr>
      <w:ind w:firstLine="420" w:firstLineChars="200"/>
    </w:pPr>
  </w:style>
  <w:style w:type="character" w:styleId="16">
    <w:name w:val="Strong"/>
    <w:basedOn w:val="15"/>
    <w:qFormat/>
    <w:uiPriority w:val="99"/>
    <w:rPr>
      <w:b/>
    </w:rPr>
  </w:style>
  <w:style w:type="character" w:styleId="17">
    <w:name w:val="Hyperlink"/>
    <w:basedOn w:val="15"/>
    <w:unhideWhenUsed/>
    <w:qFormat/>
    <w:uiPriority w:val="99"/>
    <w:rPr>
      <w:color w:val="0000FF" w:themeColor="hyperlink"/>
      <w:u w:val="single"/>
      <w14:textFill>
        <w14:solidFill>
          <w14:schemeClr w14:val="hlink"/>
        </w14:solidFill>
      </w14:textFill>
    </w:rPr>
  </w:style>
  <w:style w:type="paragraph" w:customStyle="1" w:styleId="18">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19">
    <w:name w:val="Header Char"/>
    <w:basedOn w:val="15"/>
    <w:semiHidden/>
    <w:qFormat/>
    <w:uiPriority w:val="99"/>
    <w:rPr>
      <w:rFonts w:ascii="Times New Roman" w:hAnsi="Times New Roman"/>
      <w:sz w:val="18"/>
      <w:szCs w:val="18"/>
    </w:rPr>
  </w:style>
  <w:style w:type="character" w:customStyle="1" w:styleId="20">
    <w:name w:val="页眉 Char"/>
    <w:link w:val="10"/>
    <w:semiHidden/>
    <w:qFormat/>
    <w:locked/>
    <w:uiPriority w:val="99"/>
    <w:rPr>
      <w:sz w:val="18"/>
    </w:rPr>
  </w:style>
  <w:style w:type="character" w:customStyle="1" w:styleId="21">
    <w:name w:val="Footer Char"/>
    <w:basedOn w:val="15"/>
    <w:semiHidden/>
    <w:qFormat/>
    <w:uiPriority w:val="99"/>
    <w:rPr>
      <w:rFonts w:ascii="Times New Roman" w:hAnsi="Times New Roman"/>
      <w:sz w:val="18"/>
      <w:szCs w:val="18"/>
    </w:rPr>
  </w:style>
  <w:style w:type="character" w:customStyle="1" w:styleId="22">
    <w:name w:val="页脚 Char"/>
    <w:link w:val="9"/>
    <w:qFormat/>
    <w:locked/>
    <w:uiPriority w:val="99"/>
    <w:rPr>
      <w:sz w:val="18"/>
    </w:rPr>
  </w:style>
  <w:style w:type="character" w:customStyle="1" w:styleId="23">
    <w:name w:val="Body Text Char"/>
    <w:basedOn w:val="15"/>
    <w:semiHidden/>
    <w:qFormat/>
    <w:uiPriority w:val="99"/>
    <w:rPr>
      <w:rFonts w:ascii="Times New Roman" w:hAnsi="Times New Roman"/>
      <w:szCs w:val="24"/>
    </w:rPr>
  </w:style>
  <w:style w:type="character" w:customStyle="1" w:styleId="24">
    <w:name w:val="正文文本 Char"/>
    <w:link w:val="5"/>
    <w:qFormat/>
    <w:locked/>
    <w:uiPriority w:val="99"/>
    <w:rPr>
      <w:rFonts w:ascii="仿宋_GB2312" w:hAnsi="Times New Roman" w:eastAsia="仿宋_GB2312"/>
      <w:sz w:val="24"/>
    </w:rPr>
  </w:style>
  <w:style w:type="paragraph" w:customStyle="1" w:styleId="25">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6">
    <w:name w:val="List Paragraph"/>
    <w:basedOn w:val="1"/>
    <w:qFormat/>
    <w:uiPriority w:val="34"/>
    <w:pPr>
      <w:ind w:firstLine="420" w:firstLineChars="200"/>
    </w:pPr>
  </w:style>
  <w:style w:type="character" w:customStyle="1" w:styleId="27">
    <w:name w:val="标题 1 Char"/>
    <w:basedOn w:val="15"/>
    <w:link w:val="2"/>
    <w:qFormat/>
    <w:uiPriority w:val="9"/>
    <w:rPr>
      <w:rFonts w:ascii="Times New Roman" w:hAnsi="Times New Roman"/>
      <w:b/>
      <w:bCs/>
      <w:kern w:val="44"/>
      <w:sz w:val="44"/>
      <w:szCs w:val="44"/>
    </w:rPr>
  </w:style>
  <w:style w:type="character" w:customStyle="1" w:styleId="28">
    <w:name w:val="标题 2 Char"/>
    <w:basedOn w:val="15"/>
    <w:link w:val="3"/>
    <w:qFormat/>
    <w:uiPriority w:val="9"/>
    <w:rPr>
      <w:rFonts w:asciiTheme="majorHAnsi" w:hAnsiTheme="majorHAnsi" w:eastAsiaTheme="majorEastAsia" w:cstheme="majorBidi"/>
      <w:b/>
      <w:bCs/>
      <w:kern w:val="2"/>
      <w:sz w:val="32"/>
      <w:szCs w:val="32"/>
    </w:rPr>
  </w:style>
  <w:style w:type="paragraph" w:customStyle="1" w:styleId="29">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0">
    <w:name w:val="批注框文本 Char"/>
    <w:basedOn w:val="15"/>
    <w:link w:val="8"/>
    <w:semiHidden/>
    <w:qFormat/>
    <w:uiPriority w:val="99"/>
    <w:rPr>
      <w:rFonts w:ascii="Times New Roman" w:hAnsi="Times New Roman"/>
      <w:kern w:val="2"/>
      <w:sz w:val="18"/>
      <w:szCs w:val="18"/>
    </w:rPr>
  </w:style>
  <w:style w:type="character" w:customStyle="1" w:styleId="31">
    <w:name w:val="标题 3 Char"/>
    <w:basedOn w:val="15"/>
    <w:link w:val="4"/>
    <w:qFormat/>
    <w:uiPriority w:val="9"/>
    <w:rPr>
      <w:rFonts w:ascii="Times New Roman" w:hAnsi="Times New Roman"/>
      <w:b/>
      <w:bCs/>
      <w:kern w:val="2"/>
      <w:sz w:val="32"/>
      <w:szCs w:val="32"/>
    </w:rPr>
  </w:style>
  <w:style w:type="paragraph" w:customStyle="1" w:styleId="32">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3">
    <w:name w:val="四号正文"/>
    <w:basedOn w:val="1"/>
    <w:qFormat/>
    <w:uiPriority w:val="0"/>
    <w:pPr>
      <w:spacing w:line="360" w:lineRule="auto"/>
    </w:pPr>
    <w:rPr>
      <w:rFonts w:ascii="??" w:hAnsi="??" w:eastAsia="宋体"/>
      <w:color w:val="000000"/>
      <w:kern w:val="0"/>
      <w:sz w:val="28"/>
      <w:szCs w:val="21"/>
      <w:lang w:val="zh-CN" w:eastAsia="zh-CN"/>
    </w:rPr>
  </w:style>
  <w:style w:type="paragraph" w:customStyle="1" w:styleId="34">
    <w:name w:val="WPSOffice手动目录 1"/>
    <w:qFormat/>
    <w:uiPriority w:val="0"/>
    <w:pPr>
      <w:ind w:leftChars="0"/>
    </w:pPr>
    <w:rPr>
      <w:rFonts w:asciiTheme="minorHAnsi" w:hAnsiTheme="minorHAnsi" w:eastAsiaTheme="minorEastAsia" w:cstheme="minorBidi"/>
      <w:sz w:val="20"/>
      <w:szCs w:val="20"/>
    </w:rPr>
  </w:style>
  <w:style w:type="paragraph" w:customStyle="1" w:styleId="35">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oleObject" Target="embeddings/oleObject3.bin"/><Relationship Id="rId17" Type="http://schemas.openxmlformats.org/officeDocument/2006/relationships/image" Target="media/image2.png"/><Relationship Id="rId16" Type="http://schemas.openxmlformats.org/officeDocument/2006/relationships/oleObject" Target="embeddings/oleObject2.bin"/><Relationship Id="rId15" Type="http://schemas.openxmlformats.org/officeDocument/2006/relationships/image" Target="media/image1.png"/><Relationship Id="rId14" Type="http://schemas.openxmlformats.org/officeDocument/2006/relationships/oleObject" Target="embeddings/oleObject1.bin"/><Relationship Id="rId13" Type="http://schemas.openxmlformats.org/officeDocument/2006/relationships/chart" Target="charts/chart7.xml"/><Relationship Id="rId12" Type="http://schemas.openxmlformats.org/officeDocument/2006/relationships/chart" Target="charts/chart6.xml"/><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HP\Desktop\2022&#20915;&#31639;&#20844;&#24320;\&#26816;&#27979;&#20013;&#24515;\&#2227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HP\Desktop\2022&#20915;&#31639;&#20844;&#24320;\&#26816;&#27979;&#20013;&#24515;\&#22270;.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HP\Desktop\2022&#20915;&#31639;&#20844;&#24320;\&#26816;&#27979;&#20013;&#24515;\&#22270;.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HP\Desktop\2022&#20915;&#31639;&#20844;&#24320;\&#26816;&#27979;&#20013;&#24515;\&#22270;.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HP\Desktop\2022&#20915;&#31639;&#20844;&#24320;\&#26816;&#27979;&#20013;&#24515;\&#22270;.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HP\Desktop\2022&#20915;&#31639;&#20844;&#24320;\&#26816;&#27979;&#20013;&#24515;\&#22270;.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HP\Desktop\2022&#20915;&#31639;&#20844;&#24320;\&#26816;&#27979;&#20013;&#24515;\&#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[图.xlsx]Sheet1!$C$12</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[图.xlsx]Sheet1!$D$11:$E$11</c:f>
              <c:strCache>
                <c:ptCount val="2"/>
                <c:pt idx="0">
                  <c:v>2021年</c:v>
                </c:pt>
                <c:pt idx="1">
                  <c:v>2022年</c:v>
                </c:pt>
              </c:strCache>
            </c:strRef>
          </c:cat>
          <c:val>
            <c:numRef>
              <c:f>[图.xlsx]Sheet1!$D$12:$E$12</c:f>
              <c:numCache>
                <c:formatCode>General</c:formatCode>
                <c:ptCount val="2"/>
                <c:pt idx="0">
                  <c:v>3012.7</c:v>
                </c:pt>
                <c:pt idx="1">
                  <c:v>3175.62</c:v>
                </c:pt>
              </c:numCache>
            </c:numRef>
          </c:val>
        </c:ser>
        <c:dLbls>
          <c:showLegendKey val="0"/>
          <c:showVal val="1"/>
          <c:showCatName val="0"/>
          <c:showSerName val="0"/>
          <c:showPercent val="0"/>
          <c:showBubbleSize val="0"/>
        </c:dLbls>
        <c:gapWidth val="219"/>
        <c:overlap val="-27"/>
        <c:axId val="312904726"/>
        <c:axId val="710345929"/>
        <c:extLst>
          <c:ext xmlns:c15="http://schemas.microsoft.com/office/drawing/2012/chart" uri="{02D57815-91ED-43cb-92C2-25804820EDAC}">
            <c15:filteredBarSeries>
              <c15:ser>
                <c:idx val="1"/>
                <c:order val="1"/>
                <c:tx>
                  <c:strRef>
                    <c:extLst>
                      <c:ext uri="{02D57815-91ED-43cb-92C2-25804820EDAC}">
                        <c15:formulaRef>
                          <c15:sqref>[图.xlsx]Sheet1!#REF!</c15:sqref>
                        </c15:formulaRef>
                      </c:ext>
                    </c:extLst>
                    <c:strCache>
                      <c:ptCount val="1"/>
                      <c:pt idx="0">
                        <c:v/>
                      </c:pt>
                    </c:strCache>
                  </c:strRef>
                </c:tx>
                <c:spPr>
                  <a:solidFill>
                    <a:schemeClr val="accent2"/>
                  </a:solidFill>
                  <a:ln>
                    <a:noFill/>
                  </a:ln>
                  <a:effectLst/>
                </c:spPr>
                <c:invertIfNegative val="0"/>
                <c:dLbls>
                  <c:delete val="1"/>
                </c:dLbls>
                <c:cat>
                  <c:strRef>
                    <c:extLst>
                      <c:ext uri="{02D57815-91ED-43cb-92C2-25804820EDAC}">
                        <c15:fullRef>
                          <c15:sqref/>
                        </c15:fullRef>
                        <c15:formulaRef>
                          <c15:sqref>[图.xlsx]Sheet1!$D$11:$E$11</c15:sqref>
                        </c15:formulaRef>
                      </c:ext>
                    </c:extLst>
                    <c:strCache>
                      <c:ptCount val="2"/>
                      <c:pt idx="0">
                        <c:v>2021年</c:v>
                      </c:pt>
                      <c:pt idx="1">
                        <c:v>2022年</c:v>
                      </c:pt>
                    </c:strCache>
                  </c:strRef>
                </c:cat>
                <c:val>
                  <c:numRef>
                    <c:extLst>
                      <c:ext uri="{02D57815-91ED-43cb-92C2-25804820EDAC}">
                        <c15:formulaRef>
                          <c15:sqref>{1}</c15:sqref>
                        </c15:formulaRef>
                      </c:ext>
                    </c:extLst>
                    <c:numCache>
                      <c:formatCode>General</c:formatCode>
                      <c:ptCount val="1"/>
                      <c:pt idx="0">
                        <c:v>1</c:v>
                      </c:pt>
                    </c:numCache>
                  </c:numRef>
                </c:val>
              </c15:ser>
            </c15:filteredBarSeries>
          </c:ext>
        </c:extLst>
      </c:barChart>
      <c:catAx>
        <c:axId val="31290472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0345929"/>
        <c:crossesAt val="0"/>
        <c:auto val="1"/>
        <c:lblAlgn val="ctr"/>
        <c:lblOffset val="100"/>
        <c:noMultiLvlLbl val="0"/>
      </c:catAx>
      <c:valAx>
        <c:axId val="710345929"/>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290472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[图.xlsx]Sheet2!$D$12</c:f>
              <c:strCache>
                <c:ptCount val="1"/>
                <c:pt idx="0">
                  <c:v>2022年</c:v>
                </c:pt>
              </c:strCache>
            </c:strRef>
          </c:tx>
          <c:spPr/>
          <c:explosion val="0"/>
          <c:dPt>
            <c:idx val="0"/>
            <c:bubble3D val="0"/>
            <c:spPr>
              <a:solidFill>
                <a:schemeClr val="accent1"/>
              </a:solidFill>
              <a:ln w="19050">
                <a:solidFill>
                  <a:schemeClr val="lt1"/>
                </a:solidFill>
              </a:ln>
              <a:effectLst/>
            </c:spPr>
          </c:dPt>
          <c:dLbls>
            <c:dLbl>
              <c:idx val="0"/>
              <c:layout>
                <c:manualLayout>
                  <c:x val="0.0145826438097271"/>
                  <c:y val="-0.224960564411446"/>
                </c:manualLayout>
              </c:layout>
              <c:dLblPos val="bestFit"/>
              <c:showLegendKey val="0"/>
              <c:showVal val="1"/>
              <c:showCatName val="0"/>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[图.xlsx]Sheet2!$E$11</c:f>
              <c:strCache>
                <c:ptCount val="1"/>
                <c:pt idx="0">
                  <c:v>一般公共预算财政拨款收入</c:v>
                </c:pt>
              </c:strCache>
            </c:strRef>
          </c:cat>
          <c:val>
            <c:numRef>
              <c:f>[图.xlsx]Sheet2!$E$12</c:f>
              <c:numCache>
                <c:formatCode>General</c:formatCode>
                <c:ptCount val="1"/>
                <c:pt idx="0">
                  <c:v>1408.56</c:v>
                </c:pt>
              </c:numCache>
            </c:numRef>
          </c:val>
        </c:ser>
        <c:dLbls>
          <c:showLegendKey val="0"/>
          <c:showVal val="1"/>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0.0441047256923253"/>
                  <c:y val="-0.135507830312683"/>
                </c:manualLayout>
              </c:layout>
              <c:dLblPos val="bestFit"/>
              <c:showLegendKey val="0"/>
              <c:showVal val="1"/>
              <c:showCatName val="0"/>
              <c:showSerName val="0"/>
              <c:showPercent val="1"/>
              <c:showBubbleSize val="0"/>
              <c:separator>
</c:separator>
              <c:extLst>
                <c:ext xmlns:c15="http://schemas.microsoft.com/office/drawing/2012/chart" uri="{CE6537A1-D6FC-4f65-9D91-7224C49458BB}">
                  <c15:layout/>
                </c:ext>
              </c:extLst>
            </c:dLbl>
            <c:dLbl>
              <c:idx val="1"/>
              <c:layout>
                <c:manualLayout>
                  <c:x val="-0.022933337638217"/>
                  <c:y val="-0.128460662750838"/>
                </c:manualLayout>
              </c:layout>
              <c:dLblPos val="bestFit"/>
              <c:showLegendKey val="0"/>
              <c:showVal val="1"/>
              <c:showCatName val="0"/>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[图.xlsx]Sheet3!$F$11:$G$11</c:f>
              <c:strCache>
                <c:ptCount val="2"/>
                <c:pt idx="0">
                  <c:v>基本支出</c:v>
                </c:pt>
                <c:pt idx="1">
                  <c:v>项目支出</c:v>
                </c:pt>
              </c:strCache>
            </c:strRef>
          </c:cat>
          <c:val>
            <c:numRef>
              <c:f>[图.xlsx]Sheet3!$F$12:$G$12</c:f>
              <c:numCache>
                <c:formatCode>General</c:formatCode>
                <c:ptCount val="2"/>
                <c:pt idx="0">
                  <c:v>1162.5</c:v>
                </c:pt>
                <c:pt idx="1">
                  <c:v>424.91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[图.xlsx]Sheet4!$C$12</c:f>
              <c:strCache>
                <c:ptCount val="1"/>
                <c:pt idx="0">
                  <c:v>财政拨款收、支总计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[图.xlsx]Sheet4!$D$11:$E$11</c:f>
              <c:strCache>
                <c:ptCount val="2"/>
                <c:pt idx="0">
                  <c:v>2021年</c:v>
                </c:pt>
                <c:pt idx="1">
                  <c:v>2022年</c:v>
                </c:pt>
              </c:strCache>
            </c:strRef>
          </c:cat>
          <c:val>
            <c:numRef>
              <c:f>[图.xlsx]Sheet4!$D$12:$E$12</c:f>
              <c:numCache>
                <c:formatCode>General</c:formatCode>
                <c:ptCount val="2"/>
                <c:pt idx="0">
                  <c:v>3012.7</c:v>
                </c:pt>
                <c:pt idx="1">
                  <c:v>3175.62</c:v>
                </c:pt>
              </c:numCache>
            </c:numRef>
          </c:val>
        </c:ser>
        <c:dLbls>
          <c:showLegendKey val="0"/>
          <c:showVal val="1"/>
          <c:showCatName val="0"/>
          <c:showSerName val="0"/>
          <c:showPercent val="0"/>
          <c:showBubbleSize val="0"/>
        </c:dLbls>
        <c:gapWidth val="219"/>
        <c:overlap val="-27"/>
        <c:axId val="27242939"/>
        <c:axId val="119172072"/>
        <c:extLst>
          <c:ext xmlns:c15="http://schemas.microsoft.com/office/drawing/2012/chart" uri="{02D57815-91ED-43cb-92C2-25804820EDAC}">
            <c15:filteredBarSeries>
              <c15:ser>
                <c:idx val="1"/>
                <c:order val="1"/>
                <c:tx>
                  <c:strRef>
                    <c:extLst>
                      <c:ext uri="{02D57815-91ED-43cb-92C2-25804820EDAC}">
                        <c15:formulaRef>
                          <c15:sqref>[图.xlsx]Sheet4!#REF!</c15:sqref>
                        </c15:formulaRef>
                      </c:ext>
                    </c:extLst>
                    <c:strCache>
                      <c:ptCount val="1"/>
                      <c:pt idx="0">
                        <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[图.xlsx]Sheet4!$D$11:$E$11</c15:sqref>
                        </c15:formulaRef>
                      </c:ext>
                    </c:extLst>
                    <c:strCache>
                      <c:ptCount val="2"/>
                      <c:pt idx="0">
                        <c:v>2021年</c:v>
                      </c:pt>
                      <c:pt idx="1">
                        <c:v>2022年</c:v>
                      </c:pt>
                    </c:strCache>
                  </c:strRef>
                </c:cat>
                <c:val>
                  <c:numRef>
                    <c:extLst>
                      <c:ext uri="{02D57815-91ED-43cb-92C2-25804820EDAC}">
                        <c15:formulaRef>
                          <c15:sqref>{1}</c15:sqref>
                        </c15:formulaRef>
                      </c:ext>
                    </c:extLst>
                    <c:numCache>
                      <c:formatCode>General</c:formatCode>
                      <c:ptCount val="1"/>
                      <c:pt idx="0">
                        <c:v>1</c:v>
                      </c:pt>
                    </c:numCache>
                  </c:numRef>
                </c:val>
              </c15:ser>
            </c15:filteredBarSeries>
          </c:ext>
        </c:extLst>
      </c:barChart>
      <c:catAx>
        <c:axId val="2724293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9172072"/>
        <c:crosses val="autoZero"/>
        <c:auto val="1"/>
        <c:lblAlgn val="ctr"/>
        <c:lblOffset val="100"/>
        <c:noMultiLvlLbl val="0"/>
      </c:catAx>
      <c:valAx>
        <c:axId val="1191720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24293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[图.xlsx]Sheet5!$H$8</c:f>
              <c:strCache>
                <c:ptCount val="1"/>
                <c:pt idx="0">
                  <c:v>一般公共预算财政拨款支出</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[图.xlsx]Sheet5!$G$9:$G$10</c:f>
              <c:strCache>
                <c:ptCount val="2"/>
                <c:pt idx="0">
                  <c:v>2021年</c:v>
                </c:pt>
                <c:pt idx="1">
                  <c:v>2022年</c:v>
                </c:pt>
              </c:strCache>
            </c:strRef>
          </c:cat>
          <c:val>
            <c:numRef>
              <c:f>[图.xlsx]Sheet5!$H$9:$H$10</c:f>
              <c:numCache>
                <c:formatCode>General</c:formatCode>
                <c:ptCount val="2"/>
                <c:pt idx="0">
                  <c:v>1321.74</c:v>
                </c:pt>
                <c:pt idx="1">
                  <c:v>1587.41</c:v>
                </c:pt>
              </c:numCache>
            </c:numRef>
          </c:val>
        </c:ser>
        <c:dLbls>
          <c:showLegendKey val="0"/>
          <c:showVal val="1"/>
          <c:showCatName val="0"/>
          <c:showSerName val="0"/>
          <c:showPercent val="0"/>
          <c:showBubbleSize val="0"/>
        </c:dLbls>
        <c:gapWidth val="219"/>
        <c:overlap val="-27"/>
        <c:axId val="726094298"/>
        <c:axId val="95719878"/>
      </c:barChart>
      <c:catAx>
        <c:axId val="72609429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5719878"/>
        <c:crosses val="autoZero"/>
        <c:auto val="1"/>
        <c:lblAlgn val="ctr"/>
        <c:lblOffset val="100"/>
        <c:noMultiLvlLbl val="0"/>
      </c:catAx>
      <c:valAx>
        <c:axId val="9571987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609429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0244165620316749"/>
                  <c:y val="-0.24041034109346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59305555555556"/>
                      <c:h val="0.182789317507418"/>
                    </c:manualLayout>
                  </c15:layout>
                </c:ext>
              </c:extLst>
            </c:dLbl>
            <c:dLbl>
              <c:idx val="1"/>
              <c:layout>
                <c:manualLayout>
                  <c:x val="-0.208418809714598"/>
                  <c:y val="0.140401238549865"/>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2"/>
              <c:layout>
                <c:manualLayout>
                  <c:x val="-0.00474436987164326"/>
                  <c:y val="0"/>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3"/>
              <c:layout>
                <c:manualLayout>
                  <c:x val="0.201003430804755"/>
                  <c:y val="0.00543478260869565"/>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[图.xlsx]Sheet6!$G$16:$G$19</c:f>
              <c:strCache>
                <c:ptCount val="4"/>
                <c:pt idx="0">
                  <c:v>一般公共服务支出</c:v>
                </c:pt>
                <c:pt idx="1">
                  <c:v>社会保障和就业支出</c:v>
                </c:pt>
                <c:pt idx="2">
                  <c:v>卫生健康支出</c:v>
                </c:pt>
                <c:pt idx="3">
                  <c:v>住房保障支出</c:v>
                </c:pt>
              </c:strCache>
            </c:strRef>
          </c:cat>
          <c:val>
            <c:numRef>
              <c:f>[图.xlsx]Sheet6!$H$16:$H$19</c:f>
              <c:numCache>
                <c:formatCode>General</c:formatCode>
                <c:ptCount val="4"/>
                <c:pt idx="0">
                  <c:v>1316.86</c:v>
                </c:pt>
                <c:pt idx="1">
                  <c:v>80.06</c:v>
                </c:pt>
                <c:pt idx="2">
                  <c:v>102.14</c:v>
                </c:pt>
                <c:pt idx="3">
                  <c:v>88.35</c:v>
                </c:pt>
              </c:numCache>
            </c:numRef>
          </c:val>
        </c:ser>
        <c:dLbls>
          <c:showLegendKey val="0"/>
          <c:showVal val="1"/>
          <c:showCatName val="1"/>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0104166666666667"/>
                  <c:y val="-0.28125"/>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1"/>
              <c:layout>
                <c:manualLayout>
                  <c:x val="-0.190191037553528"/>
                  <c:y val="0.0104166666666667"/>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2"/>
              <c:layout>
                <c:manualLayout>
                  <c:x val="0.222916666666667"/>
                  <c:y val="0.0034722222222222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[图.xlsx]Sheet7!$H$16:$H$18</c:f>
              <c:strCache>
                <c:ptCount val="3"/>
                <c:pt idx="0">
                  <c:v>公务用车购置及运行费</c:v>
                </c:pt>
                <c:pt idx="1">
                  <c:v>公务接待费</c:v>
                </c:pt>
                <c:pt idx="2">
                  <c:v>因公出国（境）费</c:v>
                </c:pt>
              </c:strCache>
            </c:strRef>
          </c:cat>
          <c:val>
            <c:numRef>
              <c:f>[图.xlsx]Sheet7!$I$16:$I$18</c:f>
              <c:numCache>
                <c:formatCode>General</c:formatCode>
                <c:ptCount val="3"/>
                <c:pt idx="0">
                  <c:v>11.69</c:v>
                </c:pt>
                <c:pt idx="1">
                  <c:v>0.34</c:v>
                </c:pt>
                <c:pt idx="2">
                  <c:v>0</c:v>
                </c:pt>
              </c:numCache>
            </c:numRef>
          </c:val>
        </c:ser>
        <c:dLbls>
          <c:showLegendKey val="0"/>
          <c:showVal val="1"/>
          <c:showCatName val="1"/>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24</Pages>
  <Words>1299</Words>
  <Characters>7410</Characters>
  <Lines>61</Lines>
  <Paragraphs>17</Paragraphs>
  <TotalTime>1</TotalTime>
  <ScaleCrop>false</ScaleCrop>
  <LinksUpToDate>false</LinksUpToDate>
  <CharactersWithSpaces>8692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Hey</cp:lastModifiedBy>
  <cp:lastPrinted>2023-07-31T02:35:00Z</cp:lastPrinted>
  <dcterms:modified xsi:type="dcterms:W3CDTF">2023-10-23T01:13:35Z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890C28EDF7EA48CB940EEFCAD2DBFF04_12</vt:lpwstr>
  </property>
</Properties>
</file>