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96597"/>
      <w:bookmarkStart w:id="2" w:name="_Toc15396475"/>
      <w:bookmarkStart w:id="3" w:name="_Toc15377193"/>
      <w:bookmarkStart w:id="4" w:name="_Toc15378441"/>
      <w:bookmarkStart w:id="5" w:name="_Toc15377425"/>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77194"/>
      <w:bookmarkStart w:id="7" w:name="_Toc15396598"/>
      <w:bookmarkStart w:id="8" w:name="_Toc15378442"/>
      <w:bookmarkStart w:id="9" w:name="_Toc15396476"/>
      <w:bookmarkStart w:id="10" w:name="_Toc15377426"/>
      <w:r>
        <w:rPr>
          <w:rFonts w:hint="eastAsia" w:ascii="方正小标宋简体" w:hAnsi="宋体" w:eastAsia="方正小标宋简体"/>
          <w:color w:val="000000"/>
          <w:sz w:val="44"/>
          <w:szCs w:val="44"/>
        </w:rPr>
        <w:t>四川省</w:t>
      </w:r>
      <w:bookmarkEnd w:id="0"/>
      <w:bookmarkStart w:id="11" w:name="_Toc15306268"/>
      <w:r>
        <w:rPr>
          <w:rFonts w:hint="eastAsia" w:ascii="方正小标宋简体" w:hAnsi="宋体" w:eastAsia="方正小标宋简体"/>
          <w:color w:val="000000"/>
          <w:sz w:val="44"/>
          <w:szCs w:val="44"/>
          <w:lang w:eastAsia="zh-CN"/>
        </w:rPr>
        <w:t>巴中市</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产品质量检验检测中心</w:t>
      </w: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spacing w:line="520" w:lineRule="exact"/>
        <w:ind w:firstLine="640" w:firstLineChars="200"/>
        <w:rPr>
          <w:rFonts w:ascii="Times New Roman" w:hAnsi="Times New Roman" w:eastAsia="方正黑体_GBK"/>
          <w:b/>
          <w:bCs/>
          <w:sz w:val="32"/>
          <w:szCs w:val="32"/>
        </w:rPr>
      </w:pPr>
      <w:r>
        <w:rPr>
          <w:rFonts w:ascii="Times New Roman" w:hAnsi="Times New Roman" w:eastAsia="方正黑体_GBK"/>
          <w:b/>
          <w:bCs/>
          <w:sz w:val="32"/>
          <w:szCs w:val="32"/>
        </w:rPr>
        <w:t>一、基本职能及主要工作</w:t>
      </w:r>
    </w:p>
    <w:p>
      <w:pPr>
        <w:spacing w:line="52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(一)部门职能</w:t>
      </w:r>
      <w:r>
        <w:rPr>
          <w:rFonts w:hint="eastAsia" w:ascii="仿宋" w:hAnsi="仿宋" w:eastAsia="仿宋" w:cs="仿宋"/>
          <w:b/>
          <w:bCs/>
          <w:sz w:val="32"/>
          <w:szCs w:val="32"/>
          <w:lang w:eastAsia="zh-CN"/>
        </w:rPr>
        <w:t>：</w:t>
      </w:r>
      <w:r>
        <w:rPr>
          <w:rFonts w:hint="eastAsia" w:ascii="仿宋" w:hAnsi="仿宋" w:eastAsia="仿宋" w:cs="仿宋"/>
          <w:sz w:val="32"/>
          <w:szCs w:val="32"/>
        </w:rPr>
        <w:t>巴中市产品质量检验检测中心（简称市产品质量检验检测中心）是巴中市人民政府直属公益一类事业单位，挂巴中市食品药品检验所、巴中市产品质量监督检验所牌子，主要负责人按正县级配备</w:t>
      </w:r>
      <w:r>
        <w:rPr>
          <w:rFonts w:hint="eastAsia" w:ascii="仿宋" w:hAnsi="仿宋" w:eastAsia="仿宋" w:cs="仿宋"/>
          <w:sz w:val="32"/>
          <w:szCs w:val="32"/>
          <w:lang w:eastAsia="zh-CN"/>
        </w:rPr>
        <w:t>。主要职能是：</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贯彻执行产品质量检验检测的方针、政策、法律法规以及市委、市政府的决策部署。</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负责食品、药品、保健食品、化妆品及工业产品质量与安全相关的检验检测及技术复核，为行政执法部门依法行政提供技术支撑。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承担国家、省、市下达的食品、药品、保健食品、化</w:t>
      </w:r>
    </w:p>
    <w:p>
      <w:pPr>
        <w:spacing w:line="520" w:lineRule="exact"/>
        <w:rPr>
          <w:rFonts w:hint="eastAsia" w:ascii="仿宋" w:hAnsi="仿宋" w:eastAsia="仿宋" w:cs="仿宋"/>
          <w:sz w:val="32"/>
          <w:szCs w:val="32"/>
        </w:rPr>
      </w:pPr>
      <w:r>
        <w:rPr>
          <w:rFonts w:hint="eastAsia" w:ascii="仿宋" w:hAnsi="仿宋" w:eastAsia="仿宋" w:cs="仿宋"/>
          <w:sz w:val="32"/>
          <w:szCs w:val="32"/>
        </w:rPr>
        <w:t>妆品及工业产品质量安全抽检任务。</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指导全市县级食品、药品、工业产品检验检测单位及相关生产、经营、使用单位质量检验机构的业务技术工作，协助解决相关技术问题。</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负责辖区医疗机构制剂注册的样品检验和质量标准技术复核工作。</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负责收集、整理、综合上报和反馈食品、药品、保健食品、化妆品及工业产品的质量信息，提供质量公告所需的技术数据和质量分析报告。</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为相关部门开展食品、药品、保健食品、化妆品及工业产品的质量安全预警工作提供技术保障。</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承担本市食品、药品、保健食品、化妆品及工业产品质量安全突发事件中应急检测任务。</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开展食品、药品、保健食品、化妆品及工业产品的质量标准、检验方法及相关安全性、有效性的研究工作。</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完成市委、市政府交办的其他任务。</w:t>
      </w:r>
    </w:p>
    <w:p>
      <w:pPr>
        <w:spacing w:line="520" w:lineRule="exact"/>
        <w:ind w:firstLine="321" w:firstLineChars="100"/>
        <w:rPr>
          <w:rFonts w:hint="eastAsia" w:ascii="仿宋" w:hAnsi="仿宋" w:eastAsia="仿宋" w:cs="仿宋"/>
          <w:b/>
          <w:bCs/>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巴中市产品质量检验检测中心</w:t>
      </w:r>
      <w:r>
        <w:rPr>
          <w:rFonts w:hint="eastAsia" w:ascii="仿宋" w:hAnsi="仿宋" w:eastAsia="仿宋" w:cs="仿宋"/>
          <w:b/>
          <w:bCs/>
          <w:sz w:val="32"/>
          <w:szCs w:val="32"/>
          <w:lang w:val="en-US" w:eastAsia="zh-CN"/>
        </w:rPr>
        <w:t>2019</w:t>
      </w:r>
      <w:r>
        <w:rPr>
          <w:rFonts w:hint="eastAsia" w:ascii="仿宋" w:hAnsi="仿宋" w:eastAsia="仿宋" w:cs="仿宋"/>
          <w:b/>
          <w:bCs/>
          <w:sz w:val="32"/>
          <w:szCs w:val="32"/>
        </w:rPr>
        <w:t>年重点工作</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660" w:lineRule="exact"/>
        <w:ind w:firstLine="63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.加强政治建设</w:t>
      </w:r>
      <w:r>
        <w:rPr>
          <w:rFonts w:hint="eastAsia" w:ascii="仿宋" w:hAnsi="仿宋" w:eastAsia="仿宋" w:cs="仿宋"/>
          <w:b/>
          <w:bCs/>
          <w:sz w:val="32"/>
          <w:szCs w:val="32"/>
        </w:rPr>
        <w:t>，</w:t>
      </w:r>
      <w:r>
        <w:rPr>
          <w:rFonts w:hint="eastAsia" w:ascii="仿宋" w:hAnsi="仿宋" w:eastAsia="仿宋" w:cs="仿宋"/>
          <w:b/>
          <w:bCs/>
          <w:sz w:val="32"/>
          <w:szCs w:val="32"/>
          <w:lang w:eastAsia="zh-CN"/>
        </w:rPr>
        <w:t>坚定践行“两个维护”</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rPr>
        <w:t>1</w:t>
      </w:r>
      <w:r>
        <w:rPr>
          <w:rFonts w:hint="eastAsia" w:ascii="仿宋" w:hAnsi="仿宋" w:eastAsia="仿宋" w:cs="仿宋"/>
          <w:b/>
          <w:bCs/>
          <w:sz w:val="32"/>
          <w:szCs w:val="32"/>
          <w:lang w:eastAsia="zh-CN"/>
        </w:rPr>
        <w:t>）强化理论武装。</w:t>
      </w:r>
      <w:r>
        <w:rPr>
          <w:rFonts w:hint="eastAsia" w:ascii="仿宋" w:hAnsi="仿宋" w:eastAsia="仿宋" w:cs="仿宋"/>
          <w:b w:val="0"/>
          <w:bCs w:val="0"/>
          <w:sz w:val="32"/>
          <w:szCs w:val="32"/>
          <w:lang w:eastAsia="zh-CN"/>
        </w:rPr>
        <w:t>按照学懂弄通做实的要求，把深入</w:t>
      </w:r>
      <w:r>
        <w:rPr>
          <w:rFonts w:hint="eastAsia" w:ascii="仿宋" w:hAnsi="仿宋" w:eastAsia="仿宋" w:cs="仿宋"/>
          <w:b w:val="0"/>
          <w:bCs w:val="0"/>
          <w:sz w:val="32"/>
          <w:szCs w:val="32"/>
        </w:rPr>
        <w:t>学习贯彻习近平新时代中国特色社会主义思想</w:t>
      </w:r>
      <w:r>
        <w:rPr>
          <w:rFonts w:hint="eastAsia" w:ascii="仿宋" w:hAnsi="仿宋" w:eastAsia="仿宋" w:cs="仿宋"/>
          <w:b w:val="0"/>
          <w:bCs w:val="0"/>
          <w:sz w:val="32"/>
          <w:szCs w:val="32"/>
          <w:lang w:eastAsia="zh-CN"/>
        </w:rPr>
        <w:t>和习</w:t>
      </w:r>
      <w:r>
        <w:rPr>
          <w:rFonts w:hint="eastAsia" w:ascii="仿宋" w:hAnsi="仿宋" w:eastAsia="仿宋" w:cs="仿宋"/>
          <w:b w:val="0"/>
          <w:bCs w:val="0"/>
          <w:sz w:val="32"/>
          <w:szCs w:val="32"/>
        </w:rPr>
        <w:t>近平总书记对四川工作系列重要指示精神</w:t>
      </w:r>
      <w:r>
        <w:rPr>
          <w:rFonts w:hint="eastAsia" w:ascii="仿宋" w:hAnsi="仿宋" w:eastAsia="仿宋" w:cs="仿宋"/>
          <w:b w:val="0"/>
          <w:bCs w:val="0"/>
          <w:sz w:val="32"/>
          <w:szCs w:val="32"/>
          <w:lang w:eastAsia="zh-CN"/>
        </w:rPr>
        <w:t>及</w:t>
      </w:r>
      <w:r>
        <w:rPr>
          <w:rFonts w:hint="eastAsia" w:ascii="仿宋" w:hAnsi="仿宋" w:eastAsia="仿宋" w:cs="仿宋"/>
          <w:b w:val="0"/>
          <w:bCs w:val="0"/>
          <w:sz w:val="32"/>
          <w:szCs w:val="32"/>
        </w:rPr>
        <w:t>党的十九大</w:t>
      </w:r>
      <w:r>
        <w:rPr>
          <w:rFonts w:hint="eastAsia" w:ascii="仿宋" w:hAnsi="仿宋" w:eastAsia="仿宋" w:cs="仿宋"/>
          <w:b w:val="0"/>
          <w:bCs w:val="0"/>
          <w:sz w:val="32"/>
          <w:szCs w:val="32"/>
          <w:lang w:eastAsia="zh-CN"/>
        </w:rPr>
        <w:t>、十九届四中、五中全会精神，与巩固拓展“不忘初心、牢记使命”主题教育成果结合起来，与贯彻落实省委十一届六次全会、市委四届九次全会精神结合起来，不断拓展学习广度和深度，切实增强新时期做好检验检测工作责任感和使命感</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）加强政治建设</w:t>
      </w:r>
      <w:r>
        <w:rPr>
          <w:rFonts w:hint="eastAsia" w:ascii="仿宋" w:hAnsi="仿宋" w:eastAsia="仿宋" w:cs="仿宋"/>
          <w:b/>
          <w:bCs/>
          <w:sz w:val="32"/>
          <w:szCs w:val="32"/>
        </w:rPr>
        <w:t>。</w:t>
      </w:r>
      <w:r>
        <w:rPr>
          <w:rFonts w:hint="eastAsia" w:ascii="仿宋" w:hAnsi="仿宋" w:eastAsia="仿宋" w:cs="仿宋"/>
          <w:sz w:val="32"/>
          <w:szCs w:val="32"/>
        </w:rPr>
        <w:t>坚持把党的政治建设摆在首位，把思想建设作为基础性建设，扎实推进“两学一做”学习教育常态化制度化，</w:t>
      </w:r>
      <w:r>
        <w:rPr>
          <w:rFonts w:hint="eastAsia" w:ascii="仿宋" w:hAnsi="仿宋" w:eastAsia="仿宋" w:cs="仿宋"/>
          <w:sz w:val="32"/>
          <w:szCs w:val="32"/>
          <w:lang w:eastAsia="zh-CN"/>
        </w:rPr>
        <w:t>巩固拓展</w:t>
      </w:r>
      <w:r>
        <w:rPr>
          <w:rFonts w:hint="eastAsia" w:ascii="仿宋" w:hAnsi="仿宋" w:eastAsia="仿宋" w:cs="仿宋"/>
          <w:sz w:val="32"/>
          <w:szCs w:val="32"/>
        </w:rPr>
        <w:t>“不忘初心、牢记使命”主题教育</w:t>
      </w:r>
      <w:r>
        <w:rPr>
          <w:rFonts w:hint="eastAsia" w:ascii="仿宋" w:hAnsi="仿宋" w:eastAsia="仿宋" w:cs="仿宋"/>
          <w:sz w:val="32"/>
          <w:szCs w:val="32"/>
          <w:lang w:eastAsia="zh-CN"/>
        </w:rPr>
        <w:t>成果，</w:t>
      </w:r>
      <w:r>
        <w:rPr>
          <w:rFonts w:hint="eastAsia" w:ascii="仿宋" w:hAnsi="仿宋" w:eastAsia="仿宋" w:cs="仿宋"/>
          <w:sz w:val="32"/>
          <w:szCs w:val="32"/>
        </w:rPr>
        <w:t>充分发挥好党组领导核心作用，全年党组中心组学习</w:t>
      </w:r>
      <w:r>
        <w:rPr>
          <w:rFonts w:hint="eastAsia" w:ascii="仿宋" w:hAnsi="仿宋" w:eastAsia="仿宋" w:cs="仿宋"/>
          <w:sz w:val="32"/>
          <w:szCs w:val="32"/>
          <w:lang w:eastAsia="zh-CN"/>
        </w:rPr>
        <w:t>研讨</w:t>
      </w:r>
      <w:r>
        <w:rPr>
          <w:rFonts w:hint="eastAsia" w:ascii="仿宋" w:hAnsi="仿宋" w:eastAsia="仿宋" w:cs="仿宋"/>
          <w:sz w:val="32"/>
          <w:szCs w:val="32"/>
        </w:rPr>
        <w:t>不少于10次</w:t>
      </w:r>
      <w:r>
        <w:rPr>
          <w:rFonts w:hint="eastAsia" w:ascii="仿宋" w:hAnsi="仿宋" w:eastAsia="仿宋" w:cs="仿宋"/>
          <w:sz w:val="32"/>
          <w:szCs w:val="32"/>
          <w:lang w:eastAsia="zh-CN"/>
        </w:rPr>
        <w:t>。全面落实党建工作责任制，完善党建考核等制度，抓好基层党支部落实党建责任制情况督查和支部书记抓党建述职评议</w:t>
      </w:r>
      <w:r>
        <w:rPr>
          <w:rFonts w:hint="eastAsia" w:ascii="仿宋" w:hAnsi="仿宋" w:eastAsia="仿宋" w:cs="仿宋"/>
          <w:sz w:val="32"/>
          <w:szCs w:val="32"/>
        </w:rPr>
        <w:t>。</w:t>
      </w:r>
      <w:r>
        <w:rPr>
          <w:rFonts w:hint="eastAsia" w:ascii="仿宋" w:hAnsi="仿宋" w:eastAsia="仿宋" w:cs="仿宋"/>
          <w:b w:val="0"/>
          <w:bCs w:val="0"/>
          <w:sz w:val="32"/>
          <w:szCs w:val="32"/>
          <w:lang w:eastAsia="zh-CN"/>
        </w:rPr>
        <w:t>规范党内政治生活，严格执行“三会一课”“主题党日”制度。</w:t>
      </w:r>
      <w:r>
        <w:rPr>
          <w:rFonts w:hint="eastAsia" w:ascii="仿宋" w:hAnsi="仿宋" w:eastAsia="仿宋" w:cs="仿宋"/>
          <w:sz w:val="32"/>
          <w:szCs w:val="32"/>
        </w:rPr>
        <w:t>坚持把党的领导作为检验检测工作的根本保证，</w:t>
      </w:r>
      <w:r>
        <w:rPr>
          <w:rFonts w:hint="eastAsia" w:ascii="仿宋" w:hAnsi="仿宋" w:eastAsia="仿宋" w:cs="仿宋"/>
          <w:sz w:val="32"/>
          <w:szCs w:val="32"/>
          <w:lang w:eastAsia="zh-CN"/>
        </w:rPr>
        <w:t>推动全体干部职工自觉</w:t>
      </w:r>
      <w:r>
        <w:rPr>
          <w:rFonts w:hint="eastAsia" w:ascii="仿宋" w:hAnsi="仿宋" w:eastAsia="仿宋" w:cs="仿宋"/>
          <w:sz w:val="32"/>
          <w:szCs w:val="32"/>
        </w:rPr>
        <w:t>在政治立场、政治方向、政治原则、政治道路上同以习近平同志为核心的党中央保持高度一致。</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）全面从严治党</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深入贯彻落实全面从严治党部署要求，</w:t>
      </w:r>
      <w:r>
        <w:rPr>
          <w:rFonts w:hint="eastAsia" w:ascii="仿宋" w:hAnsi="仿宋" w:eastAsia="仿宋" w:cs="仿宋"/>
          <w:i w:val="0"/>
          <w:caps w:val="0"/>
          <w:color w:val="auto"/>
          <w:spacing w:val="0"/>
          <w:sz w:val="32"/>
          <w:szCs w:val="32"/>
          <w:shd w:val="clear" w:color="auto" w:fill="FFFFFF"/>
        </w:rPr>
        <w:t>认真执行党风廉政建设责任制，</w:t>
      </w:r>
      <w:r>
        <w:rPr>
          <w:rFonts w:hint="eastAsia" w:ascii="仿宋" w:hAnsi="仿宋" w:eastAsia="仿宋" w:cs="仿宋"/>
          <w:b w:val="0"/>
          <w:bCs w:val="0"/>
          <w:sz w:val="32"/>
          <w:szCs w:val="32"/>
          <w:lang w:eastAsia="zh-CN"/>
        </w:rPr>
        <w:t>全面落实主要领导第一责任、党组领导班子成员“一岗双责”</w:t>
      </w:r>
      <w:r>
        <w:rPr>
          <w:rFonts w:hint="eastAsia" w:ascii="仿宋" w:hAnsi="仿宋" w:eastAsia="仿宋" w:cs="仿宋"/>
          <w:sz w:val="32"/>
          <w:szCs w:val="32"/>
        </w:rPr>
        <w:t>，</w:t>
      </w:r>
      <w:r>
        <w:rPr>
          <w:rFonts w:hint="eastAsia" w:ascii="仿宋" w:hAnsi="仿宋" w:eastAsia="仿宋" w:cs="仿宋"/>
          <w:i w:val="0"/>
          <w:caps w:val="0"/>
          <w:color w:val="auto"/>
          <w:spacing w:val="0"/>
          <w:sz w:val="32"/>
          <w:szCs w:val="32"/>
          <w:shd w:val="clear" w:color="auto" w:fill="FFFFFF"/>
        </w:rPr>
        <w:t>严格落实治党主体责任和监督责任，加强对“两个责任”落实情况的日常监督检查与年度专项考核。</w:t>
      </w:r>
      <w:r>
        <w:rPr>
          <w:rFonts w:hint="eastAsia" w:ascii="仿宋" w:hAnsi="仿宋" w:eastAsia="仿宋" w:cs="仿宋"/>
          <w:i w:val="0"/>
          <w:caps w:val="0"/>
          <w:color w:val="auto"/>
          <w:spacing w:val="0"/>
          <w:sz w:val="32"/>
          <w:szCs w:val="32"/>
          <w:shd w:val="clear" w:color="auto" w:fill="FFFFFF"/>
          <w:lang w:eastAsia="zh-CN"/>
        </w:rPr>
        <w:t>持续深入开展“中梗阻”、形式主义官僚主义和群众反映强烈突出问题专项整治，紧盯</w:t>
      </w:r>
      <w:r>
        <w:rPr>
          <w:rFonts w:hint="eastAsia" w:ascii="仿宋" w:hAnsi="仿宋" w:eastAsia="仿宋" w:cs="仿宋"/>
          <w:i w:val="0"/>
          <w:caps w:val="0"/>
          <w:color w:val="auto"/>
          <w:spacing w:val="0"/>
          <w:sz w:val="32"/>
          <w:szCs w:val="32"/>
          <w:shd w:val="clear" w:color="auto" w:fill="FFFFFF"/>
        </w:rPr>
        <w:t>“四风”问题新动向，深化运用监督执纪“四种形态”，加大违规违纪</w:t>
      </w:r>
      <w:r>
        <w:rPr>
          <w:rFonts w:hint="eastAsia" w:ascii="仿宋" w:hAnsi="仿宋" w:eastAsia="仿宋" w:cs="仿宋"/>
          <w:i w:val="0"/>
          <w:caps w:val="0"/>
          <w:color w:val="auto"/>
          <w:spacing w:val="0"/>
          <w:sz w:val="32"/>
          <w:szCs w:val="32"/>
          <w:shd w:val="clear" w:color="auto" w:fill="FFFFFF"/>
          <w:lang w:eastAsia="zh-CN"/>
        </w:rPr>
        <w:t>行为处罚教育</w:t>
      </w:r>
      <w:r>
        <w:rPr>
          <w:rFonts w:hint="eastAsia" w:ascii="仿宋" w:hAnsi="仿宋" w:eastAsia="仿宋" w:cs="仿宋"/>
          <w:i w:val="0"/>
          <w:caps w:val="0"/>
          <w:color w:val="auto"/>
          <w:spacing w:val="0"/>
          <w:sz w:val="32"/>
          <w:szCs w:val="32"/>
          <w:shd w:val="clear" w:color="auto" w:fill="FFFFFF"/>
        </w:rPr>
        <w:t>力度，</w:t>
      </w:r>
      <w:r>
        <w:rPr>
          <w:rFonts w:hint="eastAsia" w:ascii="仿宋" w:hAnsi="仿宋" w:eastAsia="仿宋" w:cs="仿宋"/>
          <w:i w:val="0"/>
          <w:caps w:val="0"/>
          <w:color w:val="auto"/>
          <w:spacing w:val="0"/>
          <w:sz w:val="32"/>
          <w:szCs w:val="32"/>
          <w:shd w:val="clear" w:color="auto" w:fill="FFFFFF"/>
          <w:lang w:eastAsia="zh-CN"/>
        </w:rPr>
        <w:t>加强廉政风险点排查、管控，</w:t>
      </w:r>
      <w:r>
        <w:rPr>
          <w:rFonts w:hint="eastAsia" w:ascii="仿宋" w:hAnsi="仿宋" w:eastAsia="仿宋" w:cs="仿宋"/>
          <w:i w:val="0"/>
          <w:caps w:val="0"/>
          <w:color w:val="auto"/>
          <w:spacing w:val="0"/>
          <w:sz w:val="32"/>
          <w:szCs w:val="32"/>
          <w:shd w:val="clear" w:color="auto" w:fill="FFFFFF"/>
        </w:rPr>
        <w:t>抓早抓小、防微杜渐。</w:t>
      </w:r>
      <w:r>
        <w:rPr>
          <w:rFonts w:hint="eastAsia" w:ascii="仿宋" w:hAnsi="仿宋" w:eastAsia="仿宋" w:cs="仿宋"/>
          <w:i w:val="0"/>
          <w:caps w:val="0"/>
          <w:color w:val="auto"/>
          <w:spacing w:val="0"/>
          <w:sz w:val="32"/>
          <w:szCs w:val="32"/>
          <w:shd w:val="clear" w:color="auto" w:fill="FFFFFF"/>
          <w:lang w:eastAsia="zh-CN"/>
        </w:rPr>
        <w:t>开展廉政警示教育和政德教育，不断</w:t>
      </w:r>
      <w:r>
        <w:rPr>
          <w:rFonts w:hint="eastAsia" w:ascii="仿宋" w:hAnsi="仿宋" w:eastAsia="仿宋" w:cs="仿宋"/>
          <w:sz w:val="32"/>
          <w:szCs w:val="32"/>
        </w:rPr>
        <w:t>增强干部职工的纪律意识</w:t>
      </w:r>
      <w:r>
        <w:rPr>
          <w:rFonts w:hint="eastAsia" w:ascii="仿宋" w:hAnsi="仿宋" w:eastAsia="仿宋" w:cs="仿宋"/>
          <w:sz w:val="32"/>
          <w:szCs w:val="32"/>
          <w:lang w:eastAsia="zh-CN"/>
        </w:rPr>
        <w:t>、规矩意识</w:t>
      </w:r>
      <w:r>
        <w:rPr>
          <w:rFonts w:hint="eastAsia" w:ascii="仿宋" w:hAnsi="仿宋" w:eastAsia="仿宋" w:cs="仿宋"/>
          <w:sz w:val="32"/>
          <w:szCs w:val="32"/>
        </w:rPr>
        <w:t>和法制观念</w:t>
      </w:r>
      <w:r>
        <w:rPr>
          <w:rFonts w:hint="eastAsia" w:ascii="仿宋" w:hAnsi="仿宋" w:eastAsia="仿宋" w:cs="仿宋"/>
          <w:i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（4）加强宣传引导。</w:t>
      </w:r>
      <w:r>
        <w:rPr>
          <w:rFonts w:hint="eastAsia" w:ascii="仿宋" w:hAnsi="仿宋" w:eastAsia="仿宋" w:cs="仿宋"/>
          <w:i w:val="0"/>
          <w:caps w:val="0"/>
          <w:color w:val="auto"/>
          <w:spacing w:val="0"/>
          <w:sz w:val="32"/>
          <w:szCs w:val="32"/>
          <w:shd w:val="clear" w:color="auto" w:fill="FFFFFF"/>
        </w:rPr>
        <w:t>全面落实党管意识形态要求，进一步加强意识形态工作，着力弘扬社会主义核心价值观。加强与新闻媒体机构联动，完善对外宣传工作机制</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做好</w:t>
      </w:r>
      <w:r>
        <w:rPr>
          <w:rFonts w:hint="eastAsia" w:ascii="仿宋" w:hAnsi="仿宋" w:eastAsia="仿宋" w:cs="仿宋"/>
          <w:i w:val="0"/>
          <w:caps w:val="0"/>
          <w:color w:val="auto"/>
          <w:spacing w:val="0"/>
          <w:sz w:val="32"/>
          <w:szCs w:val="32"/>
          <w:shd w:val="clear" w:color="auto" w:fill="FFFFFF"/>
          <w:lang w:eastAsia="zh-CN"/>
        </w:rPr>
        <w:t>人民群众重大关切及</w:t>
      </w:r>
      <w:r>
        <w:rPr>
          <w:rFonts w:hint="eastAsia" w:ascii="仿宋" w:hAnsi="仿宋" w:eastAsia="仿宋" w:cs="仿宋"/>
          <w:i w:val="0"/>
          <w:caps w:val="0"/>
          <w:color w:val="auto"/>
          <w:spacing w:val="0"/>
          <w:sz w:val="32"/>
          <w:szCs w:val="32"/>
          <w:shd w:val="clear" w:color="auto" w:fill="FFFFFF"/>
        </w:rPr>
        <w:t>社会关注热点问题回应。办好党建专栏，大力宣传党的方针政策，营造</w:t>
      </w:r>
      <w:r>
        <w:rPr>
          <w:rFonts w:hint="eastAsia" w:ascii="仿宋" w:hAnsi="仿宋" w:eastAsia="仿宋" w:cs="仿宋"/>
          <w:i w:val="0"/>
          <w:caps w:val="0"/>
          <w:color w:val="auto"/>
          <w:spacing w:val="0"/>
          <w:sz w:val="32"/>
          <w:szCs w:val="32"/>
          <w:shd w:val="clear" w:color="auto" w:fill="FFFFFF"/>
          <w:lang w:eastAsia="zh-CN"/>
        </w:rPr>
        <w:t>加快检验检测事业</w:t>
      </w:r>
      <w:r>
        <w:rPr>
          <w:rFonts w:hint="eastAsia" w:ascii="仿宋" w:hAnsi="仿宋" w:eastAsia="仿宋" w:cs="仿宋"/>
          <w:i w:val="0"/>
          <w:caps w:val="0"/>
          <w:color w:val="auto"/>
          <w:spacing w:val="0"/>
          <w:sz w:val="32"/>
          <w:szCs w:val="32"/>
          <w:shd w:val="clear" w:color="auto" w:fill="FFFFFF"/>
        </w:rPr>
        <w:t>发展的良好舆论氛围。</w:t>
      </w:r>
    </w:p>
    <w:p>
      <w:pPr>
        <w:keepNext w:val="0"/>
        <w:keepLines w:val="0"/>
        <w:pageBreakBefore w:val="0"/>
        <w:widowControl w:val="0"/>
        <w:kinsoku/>
        <w:wordWrap/>
        <w:overflowPunct/>
        <w:topLinePunct w:val="0"/>
        <w:autoSpaceDE w:val="0"/>
        <w:autoSpaceDN/>
        <w:bidi w:val="0"/>
        <w:adjustRightInd/>
        <w:snapToGrid/>
        <w:spacing w:line="660" w:lineRule="exact"/>
        <w:ind w:firstLine="482" w:firstLineChars="15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积极履职尽责，服务经济社会发展</w:t>
      </w:r>
    </w:p>
    <w:p>
      <w:pPr>
        <w:keepNext w:val="0"/>
        <w:keepLines w:val="0"/>
        <w:pageBreakBefore w:val="0"/>
        <w:widowControl w:val="0"/>
        <w:kinsoku/>
        <w:wordWrap/>
        <w:overflowPunct/>
        <w:topLinePunct w:val="0"/>
        <w:autoSpaceDN/>
        <w:bidi w:val="0"/>
        <w:adjustRightInd/>
        <w:snapToGrid/>
        <w:spacing w:line="660" w:lineRule="exact"/>
        <w:ind w:firstLine="321" w:firstLineChars="1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深化挂包驻帮</w:t>
      </w:r>
      <w:r>
        <w:rPr>
          <w:rFonts w:hint="eastAsia" w:ascii="仿宋" w:hAnsi="仿宋" w:eastAsia="仿宋" w:cs="仿宋"/>
          <w:b/>
          <w:bCs/>
          <w:sz w:val="32"/>
          <w:szCs w:val="32"/>
        </w:rPr>
        <w:t>。</w:t>
      </w:r>
      <w:r>
        <w:rPr>
          <w:rFonts w:hint="eastAsia" w:ascii="仿宋" w:hAnsi="仿宋" w:eastAsia="仿宋" w:cs="仿宋"/>
          <w:sz w:val="32"/>
          <w:szCs w:val="32"/>
        </w:rPr>
        <w:t>坚持问题导向，</w:t>
      </w:r>
      <w:r>
        <w:rPr>
          <w:rFonts w:hint="eastAsia" w:ascii="仿宋" w:hAnsi="仿宋" w:eastAsia="仿宋" w:cs="仿宋"/>
          <w:sz w:val="32"/>
          <w:szCs w:val="32"/>
          <w:lang w:eastAsia="zh-CN"/>
        </w:rPr>
        <w:t>对标“两不愁、三保障”，</w:t>
      </w:r>
      <w:r>
        <w:rPr>
          <w:rFonts w:hint="eastAsia" w:ascii="仿宋" w:hAnsi="仿宋" w:eastAsia="仿宋" w:cs="仿宋"/>
          <w:sz w:val="32"/>
          <w:szCs w:val="32"/>
        </w:rPr>
        <w:t>认真梳理排查</w:t>
      </w:r>
      <w:r>
        <w:rPr>
          <w:rFonts w:hint="eastAsia" w:ascii="仿宋" w:hAnsi="仿宋" w:eastAsia="仿宋" w:cs="仿宋"/>
          <w:sz w:val="32"/>
          <w:szCs w:val="32"/>
          <w:lang w:eastAsia="zh-CN"/>
        </w:rPr>
        <w:t>挂联</w:t>
      </w:r>
      <w:r>
        <w:rPr>
          <w:rFonts w:hint="eastAsia" w:ascii="仿宋" w:hAnsi="仿宋" w:eastAsia="仿宋" w:cs="仿宋"/>
          <w:sz w:val="32"/>
          <w:szCs w:val="32"/>
        </w:rPr>
        <w:t>村集体经济发展短板</w:t>
      </w:r>
      <w:r>
        <w:rPr>
          <w:rFonts w:hint="eastAsia" w:ascii="仿宋" w:hAnsi="仿宋" w:eastAsia="仿宋" w:cs="仿宋"/>
          <w:sz w:val="32"/>
          <w:szCs w:val="32"/>
          <w:lang w:eastAsia="zh-CN"/>
        </w:rPr>
        <w:t>、</w:t>
      </w:r>
      <w:r>
        <w:rPr>
          <w:rFonts w:hint="eastAsia" w:ascii="仿宋" w:hAnsi="仿宋" w:eastAsia="仿宋" w:cs="仿宋"/>
          <w:sz w:val="32"/>
          <w:szCs w:val="32"/>
        </w:rPr>
        <w:t>弱项</w:t>
      </w:r>
      <w:r>
        <w:rPr>
          <w:rFonts w:hint="eastAsia" w:ascii="仿宋" w:hAnsi="仿宋" w:eastAsia="仿宋" w:cs="仿宋"/>
          <w:sz w:val="32"/>
          <w:szCs w:val="32"/>
          <w:lang w:eastAsia="zh-CN"/>
        </w:rPr>
        <w:t>和已脱贫</w:t>
      </w:r>
      <w:r>
        <w:rPr>
          <w:rFonts w:hint="eastAsia" w:ascii="仿宋" w:hAnsi="仿宋" w:eastAsia="仿宋" w:cs="仿宋"/>
          <w:sz w:val="32"/>
          <w:szCs w:val="32"/>
        </w:rPr>
        <w:t>贫困户返贫风险</w:t>
      </w:r>
      <w:r>
        <w:rPr>
          <w:rFonts w:hint="eastAsia" w:ascii="仿宋" w:hAnsi="仿宋" w:eastAsia="仿宋" w:cs="仿宋"/>
          <w:sz w:val="32"/>
          <w:szCs w:val="32"/>
          <w:lang w:eastAsia="zh-CN"/>
        </w:rPr>
        <w:t>，</w:t>
      </w:r>
      <w:r>
        <w:rPr>
          <w:rFonts w:hint="eastAsia" w:ascii="仿宋" w:hAnsi="仿宋" w:eastAsia="仿宋" w:cs="仿宋"/>
          <w:sz w:val="32"/>
          <w:szCs w:val="32"/>
        </w:rPr>
        <w:t>用好用活脱贫攻坚政策，持续落实“一封信”明确的5 件事，</w:t>
      </w:r>
      <w:r>
        <w:rPr>
          <w:rFonts w:hint="eastAsia" w:ascii="仿宋" w:hAnsi="仿宋" w:eastAsia="仿宋" w:cs="仿宋"/>
          <w:sz w:val="32"/>
          <w:szCs w:val="32"/>
          <w:lang w:eastAsia="zh-CN"/>
        </w:rPr>
        <w:t>加强对可能因突发重大病、自然灾害、重大事故返贫户的监测和帮扶工作。</w:t>
      </w:r>
      <w:r>
        <w:rPr>
          <w:rFonts w:hint="eastAsia" w:ascii="仿宋" w:hAnsi="仿宋" w:eastAsia="仿宋" w:cs="仿宋"/>
          <w:sz w:val="32"/>
          <w:szCs w:val="32"/>
          <w:lang w:val="en-US" w:eastAsia="zh-CN"/>
        </w:rPr>
        <w:t>按照账账相符、账实相符的要求，协助抓好信息核实核准，确保挂联村顺利通过国家普查，与全国全省全市实现全面小康。</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监督抽</w:t>
      </w:r>
      <w:r>
        <w:rPr>
          <w:rFonts w:hint="eastAsia" w:ascii="仿宋" w:hAnsi="仿宋" w:eastAsia="仿宋" w:cs="仿宋"/>
          <w:b/>
          <w:bCs/>
          <w:sz w:val="32"/>
          <w:szCs w:val="32"/>
          <w:lang w:eastAsia="zh-CN"/>
        </w:rPr>
        <w:t>检</w:t>
      </w:r>
      <w:r>
        <w:rPr>
          <w:rFonts w:hint="eastAsia" w:ascii="仿宋" w:hAnsi="仿宋" w:eastAsia="仿宋" w:cs="仿宋"/>
          <w:b/>
          <w:bCs/>
          <w:sz w:val="32"/>
          <w:szCs w:val="32"/>
        </w:rPr>
        <w:t>。</w:t>
      </w:r>
      <w:r>
        <w:rPr>
          <w:rFonts w:hint="eastAsia" w:ascii="仿宋" w:hAnsi="仿宋" w:eastAsia="仿宋" w:cs="仿宋"/>
          <w:sz w:val="32"/>
          <w:szCs w:val="32"/>
        </w:rPr>
        <w:t>严格按照省</w:t>
      </w:r>
      <w:r>
        <w:rPr>
          <w:rFonts w:hint="eastAsia" w:ascii="仿宋" w:hAnsi="仿宋" w:eastAsia="仿宋" w:cs="仿宋"/>
          <w:sz w:val="32"/>
          <w:szCs w:val="32"/>
          <w:lang w:eastAsia="zh-CN"/>
        </w:rPr>
        <w:t>药品监管和</w:t>
      </w:r>
      <w:r>
        <w:rPr>
          <w:rFonts w:hint="eastAsia" w:ascii="仿宋" w:hAnsi="仿宋" w:eastAsia="仿宋" w:cs="仿宋"/>
          <w:sz w:val="32"/>
          <w:szCs w:val="32"/>
        </w:rPr>
        <w:t>市市场监管部门下达的</w:t>
      </w:r>
      <w:r>
        <w:rPr>
          <w:rFonts w:hint="eastAsia" w:ascii="仿宋" w:hAnsi="仿宋" w:eastAsia="仿宋" w:cs="仿宋"/>
          <w:sz w:val="32"/>
          <w:szCs w:val="32"/>
          <w:lang w:val="en-US" w:eastAsia="zh-CN"/>
        </w:rPr>
        <w:t>2020</w:t>
      </w:r>
      <w:r>
        <w:rPr>
          <w:rFonts w:hint="eastAsia" w:ascii="仿宋" w:hAnsi="仿宋" w:eastAsia="仿宋" w:cs="仿宋"/>
          <w:sz w:val="32"/>
          <w:szCs w:val="32"/>
        </w:rPr>
        <w:t>年监督抽查计划，认真组织实施我市食品、药品</w:t>
      </w:r>
      <w:r>
        <w:rPr>
          <w:rFonts w:hint="eastAsia" w:ascii="仿宋" w:hAnsi="仿宋" w:eastAsia="仿宋" w:cs="仿宋"/>
          <w:sz w:val="32"/>
          <w:szCs w:val="32"/>
          <w:lang w:eastAsia="zh-CN"/>
        </w:rPr>
        <w:t>和</w:t>
      </w:r>
      <w:r>
        <w:rPr>
          <w:rFonts w:hint="eastAsia" w:ascii="仿宋" w:hAnsi="仿宋" w:eastAsia="仿宋" w:cs="仿宋"/>
          <w:sz w:val="32"/>
          <w:szCs w:val="32"/>
        </w:rPr>
        <w:t>其他工业产品抽样检验工作</w:t>
      </w:r>
      <w:r>
        <w:rPr>
          <w:rFonts w:hint="eastAsia" w:ascii="仿宋" w:hAnsi="仿宋" w:eastAsia="仿宋" w:cs="仿宋"/>
          <w:sz w:val="32"/>
          <w:szCs w:val="32"/>
          <w:lang w:eastAsia="zh-CN"/>
        </w:rPr>
        <w:t>。加大与市农业农村局、市中医药产业促进中心等部门的工作衔接力度，开展“巴食巴适”公用品牌农特产品和道地药材产品质量抽检工作，</w:t>
      </w:r>
      <w:r>
        <w:rPr>
          <w:rFonts w:hint="eastAsia" w:ascii="仿宋" w:hAnsi="仿宋" w:eastAsia="仿宋" w:cs="仿宋"/>
          <w:sz w:val="32"/>
          <w:szCs w:val="32"/>
        </w:rPr>
        <w:t>为</w:t>
      </w:r>
      <w:r>
        <w:rPr>
          <w:rFonts w:hint="eastAsia" w:ascii="仿宋" w:hAnsi="仿宋" w:eastAsia="仿宋" w:cs="仿宋"/>
          <w:sz w:val="32"/>
          <w:szCs w:val="32"/>
          <w:lang w:eastAsia="zh-CN"/>
        </w:rPr>
        <w:t>服务我市“四大特色农业产业”发展和</w:t>
      </w:r>
      <w:r>
        <w:rPr>
          <w:rFonts w:hint="eastAsia" w:ascii="仿宋" w:hAnsi="仿宋" w:eastAsia="仿宋" w:cs="仿宋"/>
          <w:sz w:val="32"/>
          <w:szCs w:val="32"/>
        </w:rPr>
        <w:t>产品质量安全监管提供技术</w:t>
      </w:r>
      <w:r>
        <w:rPr>
          <w:rFonts w:hint="eastAsia" w:ascii="仿宋" w:hAnsi="仿宋" w:eastAsia="仿宋" w:cs="仿宋"/>
          <w:sz w:val="32"/>
          <w:szCs w:val="32"/>
          <w:lang w:eastAsia="zh-CN"/>
        </w:rPr>
        <w:t>支撑</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优化</w:t>
      </w:r>
      <w:r>
        <w:rPr>
          <w:rFonts w:hint="eastAsia" w:ascii="仿宋" w:hAnsi="仿宋" w:eastAsia="仿宋" w:cs="仿宋"/>
          <w:b/>
          <w:bCs/>
          <w:sz w:val="32"/>
          <w:szCs w:val="32"/>
        </w:rPr>
        <w:t>技术服务。</w:t>
      </w:r>
      <w:r>
        <w:rPr>
          <w:rFonts w:hint="eastAsia" w:ascii="仿宋" w:hAnsi="仿宋" w:eastAsia="仿宋" w:cs="仿宋"/>
          <w:b w:val="0"/>
          <w:bCs w:val="0"/>
          <w:sz w:val="32"/>
          <w:szCs w:val="32"/>
          <w:lang w:eastAsia="zh-CN"/>
        </w:rPr>
        <w:t>围绕创建一流营商环境，</w:t>
      </w:r>
      <w:r>
        <w:rPr>
          <w:rFonts w:hint="eastAsia" w:ascii="仿宋" w:hAnsi="仿宋" w:eastAsia="仿宋" w:cs="仿宋"/>
          <w:b w:val="0"/>
          <w:bCs w:val="0"/>
          <w:sz w:val="32"/>
          <w:szCs w:val="32"/>
        </w:rPr>
        <w:t>充分</w:t>
      </w:r>
      <w:r>
        <w:rPr>
          <w:rFonts w:hint="eastAsia" w:ascii="仿宋" w:hAnsi="仿宋" w:eastAsia="仿宋" w:cs="仿宋"/>
          <w:b w:val="0"/>
          <w:bCs w:val="0"/>
          <w:sz w:val="32"/>
          <w:szCs w:val="32"/>
          <w:lang w:eastAsia="zh-CN"/>
        </w:rPr>
        <w:t>发挥</w:t>
      </w:r>
      <w:r>
        <w:rPr>
          <w:rFonts w:hint="eastAsia" w:ascii="仿宋" w:hAnsi="仿宋" w:eastAsia="仿宋" w:cs="仿宋"/>
          <w:b w:val="0"/>
          <w:bCs w:val="0"/>
          <w:sz w:val="32"/>
          <w:szCs w:val="32"/>
        </w:rPr>
        <w:t>检验检测技术优势，</w:t>
      </w:r>
      <w:r>
        <w:rPr>
          <w:rFonts w:hint="eastAsia" w:ascii="仿宋" w:hAnsi="仿宋" w:eastAsia="仿宋" w:cs="仿宋"/>
          <w:b w:val="0"/>
          <w:bCs w:val="0"/>
          <w:sz w:val="32"/>
          <w:szCs w:val="32"/>
          <w:lang w:eastAsia="zh-CN"/>
        </w:rPr>
        <w:t>深入企业一线开展调研，</w:t>
      </w:r>
      <w:r>
        <w:rPr>
          <w:rFonts w:hint="eastAsia" w:ascii="仿宋" w:hAnsi="仿宋" w:eastAsia="仿宋" w:cs="仿宋"/>
          <w:sz w:val="32"/>
          <w:szCs w:val="32"/>
          <w:lang w:eastAsia="zh-CN"/>
        </w:rPr>
        <w:t>组建</w:t>
      </w:r>
      <w:r>
        <w:rPr>
          <w:rFonts w:hint="eastAsia" w:ascii="仿宋" w:hAnsi="仿宋" w:eastAsia="仿宋" w:cs="仿宋"/>
          <w:sz w:val="32"/>
          <w:szCs w:val="32"/>
        </w:rPr>
        <w:t>技术团队深入我市食品、</w:t>
      </w:r>
      <w:r>
        <w:rPr>
          <w:rFonts w:hint="eastAsia" w:ascii="仿宋" w:hAnsi="仿宋" w:eastAsia="仿宋" w:cs="仿宋"/>
          <w:sz w:val="32"/>
          <w:szCs w:val="32"/>
          <w:lang w:eastAsia="zh-CN"/>
        </w:rPr>
        <w:t>药品及药品器械、</w:t>
      </w:r>
      <w:r>
        <w:rPr>
          <w:rFonts w:hint="eastAsia" w:ascii="仿宋" w:hAnsi="仿宋" w:eastAsia="仿宋" w:cs="仿宋"/>
          <w:sz w:val="32"/>
          <w:szCs w:val="32"/>
        </w:rPr>
        <w:t>建筑建材</w:t>
      </w:r>
      <w:r>
        <w:rPr>
          <w:rFonts w:hint="eastAsia" w:ascii="仿宋" w:hAnsi="仿宋" w:eastAsia="仿宋" w:cs="仿宋"/>
          <w:sz w:val="32"/>
          <w:szCs w:val="32"/>
          <w:lang w:eastAsia="zh-CN"/>
        </w:rPr>
        <w:t>产品生产经营</w:t>
      </w:r>
      <w:r>
        <w:rPr>
          <w:rFonts w:hint="eastAsia" w:ascii="仿宋" w:hAnsi="仿宋" w:eastAsia="仿宋" w:cs="仿宋"/>
          <w:sz w:val="32"/>
          <w:szCs w:val="32"/>
        </w:rPr>
        <w:t>企业开展技术咨询和帮扶活动，着力解决部分企业在生产工艺、检验检测</w:t>
      </w:r>
      <w:r>
        <w:rPr>
          <w:rFonts w:hint="eastAsia" w:ascii="仿宋" w:hAnsi="仿宋" w:eastAsia="仿宋" w:cs="仿宋"/>
          <w:sz w:val="32"/>
          <w:szCs w:val="32"/>
          <w:lang w:eastAsia="zh-CN"/>
        </w:rPr>
        <w:t>方面</w:t>
      </w:r>
      <w:r>
        <w:rPr>
          <w:rFonts w:hint="eastAsia" w:ascii="仿宋" w:hAnsi="仿宋" w:eastAsia="仿宋" w:cs="仿宋"/>
          <w:sz w:val="32"/>
          <w:szCs w:val="32"/>
        </w:rPr>
        <w:t>遇到的</w:t>
      </w:r>
      <w:r>
        <w:rPr>
          <w:rFonts w:hint="eastAsia" w:ascii="仿宋" w:hAnsi="仿宋" w:eastAsia="仿宋" w:cs="仿宋"/>
          <w:sz w:val="32"/>
          <w:szCs w:val="32"/>
          <w:lang w:eastAsia="zh-CN"/>
        </w:rPr>
        <w:t>难题和</w:t>
      </w:r>
      <w:r>
        <w:rPr>
          <w:rFonts w:hint="eastAsia" w:ascii="仿宋" w:hAnsi="仿宋" w:eastAsia="仿宋" w:cs="仿宋"/>
          <w:sz w:val="32"/>
          <w:szCs w:val="32"/>
        </w:rPr>
        <w:t>问题。积极开展社会化检验</w:t>
      </w:r>
      <w:r>
        <w:rPr>
          <w:rFonts w:hint="eastAsia" w:ascii="仿宋" w:hAnsi="仿宋" w:eastAsia="仿宋" w:cs="仿宋"/>
          <w:sz w:val="32"/>
          <w:szCs w:val="32"/>
          <w:lang w:eastAsia="zh-CN"/>
        </w:rPr>
        <w:t>检测</w:t>
      </w:r>
      <w:r>
        <w:rPr>
          <w:rFonts w:hint="eastAsia" w:ascii="仿宋" w:hAnsi="仿宋" w:eastAsia="仿宋" w:cs="仿宋"/>
          <w:sz w:val="32"/>
          <w:szCs w:val="32"/>
        </w:rPr>
        <w:t>服务，促进我市产品质量整体水平不断提升。</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强化风险防范</w:t>
      </w:r>
      <w:r>
        <w:rPr>
          <w:rFonts w:hint="eastAsia" w:ascii="仿宋" w:hAnsi="仿宋" w:eastAsia="仿宋" w:cs="仿宋"/>
          <w:b/>
          <w:bCs/>
          <w:sz w:val="32"/>
          <w:szCs w:val="32"/>
        </w:rPr>
        <w:t>。</w:t>
      </w:r>
      <w:r>
        <w:rPr>
          <w:rFonts w:hint="eastAsia" w:ascii="仿宋" w:hAnsi="仿宋" w:eastAsia="仿宋" w:cs="仿宋"/>
          <w:sz w:val="32"/>
          <w:szCs w:val="32"/>
          <w:lang w:eastAsia="zh-CN"/>
        </w:rPr>
        <w:t>立足</w:t>
      </w:r>
      <w:r>
        <w:rPr>
          <w:rFonts w:hint="eastAsia" w:ascii="仿宋" w:hAnsi="仿宋" w:eastAsia="仿宋" w:cs="仿宋"/>
          <w:sz w:val="32"/>
          <w:szCs w:val="32"/>
        </w:rPr>
        <w:t>单位职能职责，全面排查梳理检验检测工作风险隐患，紧盯</w:t>
      </w:r>
      <w:r>
        <w:rPr>
          <w:rStyle w:val="30"/>
          <w:rFonts w:hint="eastAsia" w:ascii="仿宋" w:hAnsi="仿宋" w:eastAsia="仿宋" w:cs="仿宋"/>
          <w:b w:val="0"/>
          <w:bCs w:val="0"/>
          <w:sz w:val="32"/>
          <w:szCs w:val="32"/>
          <w:shd w:val="clear" w:color="auto" w:fill="FFFFFF"/>
        </w:rPr>
        <w:t>抽样检测、设备维修、</w:t>
      </w:r>
      <w:r>
        <w:rPr>
          <w:rStyle w:val="30"/>
          <w:rFonts w:hint="eastAsia" w:ascii="仿宋" w:hAnsi="仿宋" w:eastAsia="仿宋" w:cs="仿宋"/>
          <w:b w:val="0"/>
          <w:bCs w:val="0"/>
          <w:sz w:val="32"/>
          <w:szCs w:val="32"/>
          <w:shd w:val="clear" w:color="auto" w:fill="FFFFFF"/>
          <w:lang w:eastAsia="zh-CN"/>
        </w:rPr>
        <w:t>实验</w:t>
      </w:r>
      <w:r>
        <w:rPr>
          <w:rStyle w:val="30"/>
          <w:rFonts w:hint="eastAsia" w:ascii="仿宋" w:hAnsi="仿宋" w:eastAsia="仿宋" w:cs="仿宋"/>
          <w:b w:val="0"/>
          <w:bCs w:val="0"/>
          <w:sz w:val="32"/>
          <w:szCs w:val="32"/>
          <w:shd w:val="clear" w:color="auto" w:fill="FFFFFF"/>
        </w:rPr>
        <w:t>耗材采购、后勤服务、财务管理</w:t>
      </w:r>
      <w:r>
        <w:rPr>
          <w:rStyle w:val="30"/>
          <w:rFonts w:hint="eastAsia" w:ascii="仿宋" w:hAnsi="仿宋" w:eastAsia="仿宋" w:cs="仿宋"/>
          <w:b w:val="0"/>
          <w:bCs w:val="0"/>
          <w:sz w:val="32"/>
          <w:szCs w:val="32"/>
          <w:shd w:val="clear" w:color="auto" w:fill="FFFFFF"/>
          <w:lang w:eastAsia="zh-CN"/>
        </w:rPr>
        <w:t>等重点岗位和关键环节，</w:t>
      </w:r>
      <w:r>
        <w:rPr>
          <w:rFonts w:hint="eastAsia" w:ascii="仿宋" w:hAnsi="仿宋" w:eastAsia="仿宋" w:cs="仿宋"/>
          <w:sz w:val="32"/>
          <w:szCs w:val="32"/>
        </w:rPr>
        <w:t>健全</w:t>
      </w:r>
      <w:r>
        <w:rPr>
          <w:rFonts w:hint="eastAsia" w:ascii="仿宋" w:hAnsi="仿宋" w:eastAsia="仿宋" w:cs="仿宋"/>
          <w:sz w:val="32"/>
          <w:szCs w:val="32"/>
          <w:lang w:eastAsia="zh-CN"/>
        </w:rPr>
        <w:t>完善内部管理制度和</w:t>
      </w:r>
      <w:r>
        <w:rPr>
          <w:rFonts w:hint="eastAsia" w:ascii="仿宋" w:hAnsi="仿宋" w:eastAsia="仿宋" w:cs="仿宋"/>
          <w:sz w:val="32"/>
          <w:szCs w:val="32"/>
        </w:rPr>
        <w:t>质量</w:t>
      </w:r>
      <w:r>
        <w:rPr>
          <w:rFonts w:hint="eastAsia" w:ascii="仿宋" w:hAnsi="仿宋" w:eastAsia="仿宋" w:cs="仿宋"/>
          <w:sz w:val="32"/>
          <w:szCs w:val="32"/>
          <w:lang w:eastAsia="zh-CN"/>
        </w:rPr>
        <w:t>控制</w:t>
      </w:r>
      <w:r>
        <w:rPr>
          <w:rFonts w:hint="eastAsia" w:ascii="仿宋" w:hAnsi="仿宋" w:eastAsia="仿宋" w:cs="仿宋"/>
          <w:sz w:val="32"/>
          <w:szCs w:val="32"/>
        </w:rPr>
        <w:t>体系，</w:t>
      </w:r>
      <w:r>
        <w:rPr>
          <w:rFonts w:hint="eastAsia" w:ascii="仿宋" w:hAnsi="仿宋" w:eastAsia="仿宋" w:cs="仿宋"/>
          <w:sz w:val="32"/>
          <w:szCs w:val="32"/>
          <w:lang w:eastAsia="zh-CN"/>
        </w:rPr>
        <w:t>营造放心干事、干净干事的良好纪律保证氛围，</w:t>
      </w:r>
      <w:r>
        <w:rPr>
          <w:rFonts w:hint="eastAsia" w:ascii="仿宋" w:hAnsi="仿宋" w:eastAsia="仿宋" w:cs="仿宋"/>
          <w:sz w:val="32"/>
          <w:szCs w:val="32"/>
        </w:rPr>
        <w:t>确保检验检测数据科学、公正、准确。</w:t>
      </w:r>
    </w:p>
    <w:p>
      <w:pPr>
        <w:keepNext w:val="0"/>
        <w:keepLines w:val="0"/>
        <w:pageBreakBefore w:val="0"/>
        <w:widowControl w:val="0"/>
        <w:kinsoku/>
        <w:wordWrap/>
        <w:overflowPunct/>
        <w:topLinePunct w:val="0"/>
        <w:autoSpaceDE w:val="0"/>
        <w:autoSpaceDN/>
        <w:bidi w:val="0"/>
        <w:adjustRightInd/>
        <w:snapToGrid/>
        <w:spacing w:line="6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加强自身建设，激发事业发展活力</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w:t>
      </w:r>
      <w:r>
        <w:rPr>
          <w:rFonts w:hint="eastAsia" w:ascii="仿宋" w:hAnsi="仿宋" w:eastAsia="仿宋" w:cs="仿宋"/>
          <w:b/>
          <w:bCs/>
          <w:sz w:val="32"/>
          <w:szCs w:val="32"/>
        </w:rPr>
        <w:t>加</w:t>
      </w:r>
      <w:r>
        <w:rPr>
          <w:rFonts w:hint="eastAsia" w:ascii="仿宋" w:hAnsi="仿宋" w:eastAsia="仿宋" w:cs="仿宋"/>
          <w:b/>
          <w:bCs/>
          <w:sz w:val="32"/>
          <w:szCs w:val="32"/>
          <w:lang w:eastAsia="zh-CN"/>
        </w:rPr>
        <w:t>大招才引智力度</w:t>
      </w:r>
      <w:r>
        <w:rPr>
          <w:rFonts w:hint="eastAsia" w:ascii="仿宋" w:hAnsi="仿宋" w:eastAsia="仿宋" w:cs="仿宋"/>
          <w:b/>
          <w:bCs/>
          <w:sz w:val="32"/>
          <w:szCs w:val="32"/>
        </w:rPr>
        <w:t>。</w:t>
      </w:r>
      <w:r>
        <w:rPr>
          <w:rFonts w:hint="eastAsia" w:ascii="仿宋" w:hAnsi="仿宋" w:eastAsia="仿宋" w:cs="仿宋"/>
          <w:sz w:val="32"/>
          <w:szCs w:val="32"/>
        </w:rPr>
        <w:t>用好用活人才引进政策，加大</w:t>
      </w:r>
      <w:r>
        <w:rPr>
          <w:rFonts w:hint="eastAsia" w:ascii="仿宋" w:hAnsi="仿宋" w:eastAsia="仿宋" w:cs="仿宋"/>
          <w:sz w:val="32"/>
          <w:szCs w:val="32"/>
          <w:lang w:eastAsia="zh-CN"/>
        </w:rPr>
        <w:t>相关专业人</w:t>
      </w:r>
      <w:r>
        <w:rPr>
          <w:rFonts w:hint="eastAsia" w:ascii="仿宋" w:hAnsi="仿宋" w:eastAsia="仿宋" w:cs="仿宋"/>
          <w:sz w:val="32"/>
          <w:szCs w:val="32"/>
        </w:rPr>
        <w:t>才引进力度</w:t>
      </w:r>
      <w:r>
        <w:rPr>
          <w:rFonts w:hint="eastAsia" w:ascii="仿宋" w:hAnsi="仿宋" w:eastAsia="仿宋" w:cs="仿宋"/>
          <w:sz w:val="32"/>
          <w:szCs w:val="32"/>
          <w:lang w:eastAsia="zh-CN"/>
        </w:rPr>
        <w:t>，优化人才队伍结构，实现检验检测专业人才规模、质量与检验检测事业发展相适应、相协调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（10）强化整体素质提升。</w:t>
      </w:r>
      <w:r>
        <w:rPr>
          <w:rFonts w:hint="eastAsia" w:ascii="仿宋" w:hAnsi="仿宋" w:eastAsia="仿宋" w:cs="仿宋"/>
          <w:sz w:val="32"/>
          <w:szCs w:val="32"/>
        </w:rPr>
        <w:t>加强业务技能培训，</w:t>
      </w:r>
      <w:r>
        <w:rPr>
          <w:rFonts w:hint="eastAsia" w:ascii="仿宋" w:hAnsi="仿宋" w:eastAsia="仿宋" w:cs="仿宋"/>
          <w:sz w:val="32"/>
          <w:szCs w:val="32"/>
          <w:lang w:eastAsia="zh-CN"/>
        </w:rPr>
        <w:t>选派专业技术人员参加国家和省相关检验检测机构业务培训，组织干部职工到先进地区学习交流，举办业务知识培训班，</w:t>
      </w:r>
      <w:r>
        <w:rPr>
          <w:rFonts w:hint="eastAsia" w:ascii="仿宋" w:hAnsi="仿宋" w:eastAsia="仿宋" w:cs="仿宋"/>
          <w:sz w:val="32"/>
          <w:szCs w:val="32"/>
        </w:rPr>
        <w:t>努力</w:t>
      </w:r>
      <w:r>
        <w:rPr>
          <w:rFonts w:hint="eastAsia" w:ascii="仿宋" w:hAnsi="仿宋" w:eastAsia="仿宋" w:cs="仿宋"/>
          <w:sz w:val="32"/>
          <w:szCs w:val="32"/>
          <w:lang w:eastAsia="zh-CN"/>
        </w:rPr>
        <w:t>建设一支高素质</w:t>
      </w:r>
      <w:r>
        <w:rPr>
          <w:rFonts w:hint="eastAsia" w:ascii="仿宋" w:hAnsi="仿宋" w:eastAsia="仿宋" w:cs="仿宋"/>
          <w:sz w:val="32"/>
          <w:szCs w:val="32"/>
        </w:rPr>
        <w:t>检验检测</w:t>
      </w:r>
      <w:r>
        <w:rPr>
          <w:rFonts w:hint="eastAsia" w:ascii="仿宋" w:hAnsi="仿宋" w:eastAsia="仿宋" w:cs="仿宋"/>
          <w:sz w:val="32"/>
          <w:szCs w:val="32"/>
          <w:lang w:eastAsia="zh-CN"/>
        </w:rPr>
        <w:t>人才</w:t>
      </w:r>
      <w:r>
        <w:rPr>
          <w:rFonts w:hint="eastAsia" w:ascii="仿宋" w:hAnsi="仿宋" w:eastAsia="仿宋" w:cs="仿宋"/>
          <w:sz w:val="32"/>
          <w:szCs w:val="32"/>
        </w:rPr>
        <w:t>队伍。</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加强检测能力</w:t>
      </w:r>
      <w:r>
        <w:rPr>
          <w:rFonts w:hint="eastAsia" w:ascii="仿宋" w:hAnsi="仿宋" w:eastAsia="仿宋" w:cs="仿宋"/>
          <w:b/>
          <w:bCs/>
          <w:sz w:val="32"/>
          <w:szCs w:val="32"/>
          <w:lang w:eastAsia="zh-CN"/>
        </w:rPr>
        <w:t>建设</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围绕我市“三个四”重点产业发展，</w:t>
      </w:r>
      <w:r>
        <w:rPr>
          <w:rFonts w:hint="eastAsia" w:ascii="仿宋" w:hAnsi="仿宋" w:eastAsia="仿宋" w:cs="仿宋"/>
          <w:sz w:val="32"/>
          <w:szCs w:val="32"/>
        </w:rPr>
        <w:t>结合单位职能职责和工作实际，有针对性地加强工业产品检测能力建设</w:t>
      </w:r>
      <w:r>
        <w:rPr>
          <w:rFonts w:hint="eastAsia" w:ascii="仿宋" w:hAnsi="仿宋" w:eastAsia="仿宋" w:cs="仿宋"/>
          <w:sz w:val="32"/>
          <w:szCs w:val="32"/>
          <w:lang w:eastAsia="zh-CN"/>
        </w:rPr>
        <w:t>，按照市委市政府部署，抓好石墨检验检测能力建设</w:t>
      </w:r>
      <w:r>
        <w:rPr>
          <w:rFonts w:hint="eastAsia" w:ascii="仿宋" w:hAnsi="仿宋" w:eastAsia="仿宋" w:cs="仿宋"/>
          <w:sz w:val="32"/>
          <w:szCs w:val="32"/>
        </w:rPr>
        <w:t>。</w:t>
      </w:r>
      <w:r>
        <w:rPr>
          <w:rFonts w:hint="eastAsia" w:ascii="仿宋" w:hAnsi="仿宋" w:eastAsia="仿宋" w:cs="仿宋"/>
          <w:sz w:val="32"/>
          <w:szCs w:val="32"/>
          <w:lang w:eastAsia="zh-CN"/>
        </w:rPr>
        <w:t>健全完善激励机制，鼓励专业技术人员利用现有检验检测设备，开发应用新的食品检验项目，不断提升单位检测能力。</w:t>
      </w:r>
    </w:p>
    <w:p>
      <w:pPr>
        <w:keepNext w:val="0"/>
        <w:keepLines w:val="0"/>
        <w:pageBreakBefore w:val="0"/>
        <w:widowControl w:val="0"/>
        <w:kinsoku/>
        <w:wordWrap/>
        <w:overflowPunct/>
        <w:topLinePunct w:val="0"/>
        <w:autoSpaceDE w:val="0"/>
        <w:autoSpaceDN/>
        <w:bidi w:val="0"/>
        <w:adjustRightInd/>
        <w:snapToGrid/>
        <w:spacing w:line="6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加强内部管理</w:t>
      </w:r>
      <w:r>
        <w:rPr>
          <w:rFonts w:hint="eastAsia" w:ascii="仿宋" w:hAnsi="仿宋" w:eastAsia="仿宋" w:cs="仿宋"/>
          <w:b/>
          <w:bCs/>
          <w:sz w:val="32"/>
          <w:szCs w:val="32"/>
        </w:rPr>
        <w:t>，提升管理</w:t>
      </w:r>
      <w:r>
        <w:rPr>
          <w:rFonts w:hint="eastAsia" w:ascii="仿宋" w:hAnsi="仿宋" w:eastAsia="仿宋" w:cs="仿宋"/>
          <w:b/>
          <w:bCs/>
          <w:sz w:val="32"/>
          <w:szCs w:val="32"/>
          <w:lang w:eastAsia="zh-CN"/>
        </w:rPr>
        <w:t>服务能力</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12</w:t>
      </w:r>
      <w:r>
        <w:rPr>
          <w:rFonts w:hint="eastAsia" w:ascii="仿宋" w:hAnsi="仿宋" w:eastAsia="仿宋" w:cs="仿宋"/>
          <w:b/>
          <w:bCs/>
          <w:sz w:val="32"/>
          <w:szCs w:val="32"/>
          <w:lang w:eastAsia="zh-CN"/>
        </w:rPr>
        <w:t>）加强单位内部管理</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根据工作需要，</w:t>
      </w:r>
      <w:r>
        <w:rPr>
          <w:rFonts w:hint="eastAsia" w:ascii="仿宋" w:hAnsi="仿宋" w:eastAsia="仿宋" w:cs="仿宋"/>
          <w:sz w:val="32"/>
          <w:szCs w:val="32"/>
        </w:rPr>
        <w:t>结合</w:t>
      </w:r>
      <w:r>
        <w:rPr>
          <w:rFonts w:hint="eastAsia" w:ascii="仿宋" w:hAnsi="仿宋" w:eastAsia="仿宋" w:cs="仿宋"/>
          <w:sz w:val="32"/>
          <w:szCs w:val="32"/>
          <w:lang w:eastAsia="zh-CN"/>
        </w:rPr>
        <w:t>单位</w:t>
      </w:r>
      <w:r>
        <w:rPr>
          <w:rFonts w:hint="eastAsia" w:ascii="仿宋" w:hAnsi="仿宋" w:eastAsia="仿宋" w:cs="仿宋"/>
          <w:sz w:val="32"/>
          <w:szCs w:val="32"/>
        </w:rPr>
        <w:t>实际，建立健全各项内部管理制度，</w:t>
      </w:r>
      <w:r>
        <w:rPr>
          <w:rFonts w:hint="eastAsia" w:ascii="仿宋" w:hAnsi="仿宋" w:eastAsia="仿宋" w:cs="仿宋"/>
          <w:sz w:val="32"/>
          <w:szCs w:val="32"/>
          <w:lang w:eastAsia="zh-CN"/>
        </w:rPr>
        <w:t>严格公务接待、人力资源、公务用车、财务等内部管理</w:t>
      </w:r>
      <w:r>
        <w:rPr>
          <w:rFonts w:hint="eastAsia" w:ascii="仿宋" w:hAnsi="仿宋" w:eastAsia="仿宋" w:cs="仿宋"/>
          <w:sz w:val="32"/>
          <w:szCs w:val="32"/>
        </w:rPr>
        <w:t>。</w:t>
      </w:r>
      <w:r>
        <w:rPr>
          <w:rFonts w:hint="eastAsia" w:ascii="仿宋" w:hAnsi="仿宋" w:eastAsia="仿宋" w:cs="仿宋"/>
          <w:sz w:val="32"/>
          <w:szCs w:val="32"/>
          <w:lang w:eastAsia="zh-CN"/>
        </w:rPr>
        <w:t>加大转</w:t>
      </w:r>
      <w:r>
        <w:rPr>
          <w:rFonts w:hint="eastAsia" w:ascii="仿宋" w:hAnsi="仿宋" w:eastAsia="仿宋" w:cs="仿宋"/>
          <w:sz w:val="32"/>
          <w:szCs w:val="32"/>
        </w:rPr>
        <w:t>版</w:t>
      </w:r>
      <w:r>
        <w:rPr>
          <w:rFonts w:hint="eastAsia" w:ascii="仿宋" w:hAnsi="仿宋" w:eastAsia="仿宋" w:cs="仿宋"/>
          <w:sz w:val="32"/>
          <w:szCs w:val="32"/>
          <w:lang w:eastAsia="zh-CN"/>
        </w:rPr>
        <w:t>后的</w:t>
      </w:r>
      <w:r>
        <w:rPr>
          <w:rFonts w:hint="eastAsia" w:ascii="仿宋" w:hAnsi="仿宋" w:eastAsia="仿宋" w:cs="仿宋"/>
          <w:sz w:val="32"/>
          <w:szCs w:val="32"/>
        </w:rPr>
        <w:t>《质量手册》《程序文件》《作业指导书》等质量管理体系文件宣传贯彻力度，确保质量管理体系有效运行和持续改进。</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13</w:t>
      </w:r>
      <w:r>
        <w:rPr>
          <w:rFonts w:hint="eastAsia" w:ascii="仿宋" w:hAnsi="仿宋" w:eastAsia="仿宋" w:cs="仿宋"/>
          <w:b/>
          <w:bCs/>
          <w:sz w:val="32"/>
          <w:szCs w:val="32"/>
          <w:lang w:eastAsia="zh-CN"/>
        </w:rPr>
        <w:t>）加大督查考核力度</w:t>
      </w:r>
      <w:r>
        <w:rPr>
          <w:rFonts w:hint="eastAsia" w:ascii="仿宋" w:hAnsi="仿宋" w:eastAsia="仿宋" w:cs="仿宋"/>
          <w:b/>
          <w:bCs/>
          <w:sz w:val="32"/>
          <w:szCs w:val="32"/>
        </w:rPr>
        <w:t>。</w:t>
      </w:r>
      <w:r>
        <w:rPr>
          <w:rFonts w:hint="eastAsia" w:ascii="仿宋" w:hAnsi="仿宋" w:eastAsia="仿宋" w:cs="仿宋"/>
          <w:sz w:val="32"/>
          <w:szCs w:val="32"/>
          <w:lang w:eastAsia="zh-CN"/>
        </w:rPr>
        <w:t>充分发挥督查考核的“风向标”“指挥棒”作用，将市委市政府下达的各项年度目标任务细化到各科室所，纳入对各科室所和干部职工目标绩效考核体系，与目标绩效奖挂钩。定期对标对表督查考核，形成督查考核、反馈结果、问题整改、推动落实工作机制。</w:t>
      </w:r>
    </w:p>
    <w:p>
      <w:pPr>
        <w:keepNext w:val="0"/>
        <w:keepLines w:val="0"/>
        <w:pageBreakBefore w:val="0"/>
        <w:widowControl w:val="0"/>
        <w:kinsoku/>
        <w:wordWrap/>
        <w:overflowPunct/>
        <w:topLinePunct w:val="0"/>
        <w:autoSpaceDE w:val="0"/>
        <w:autoSpaceDN/>
        <w:bidi w:val="0"/>
        <w:adjustRightInd/>
        <w:snapToGrid/>
        <w:spacing w:line="660" w:lineRule="exact"/>
        <w:ind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14</w:t>
      </w:r>
      <w:r>
        <w:rPr>
          <w:rFonts w:hint="eastAsia" w:ascii="仿宋" w:hAnsi="仿宋" w:eastAsia="仿宋" w:cs="仿宋"/>
          <w:b/>
          <w:bCs/>
          <w:sz w:val="32"/>
          <w:szCs w:val="32"/>
          <w:lang w:eastAsia="zh-CN"/>
        </w:rPr>
        <w:t>）抓</w:t>
      </w:r>
      <w:r>
        <w:rPr>
          <w:rFonts w:hint="eastAsia" w:ascii="仿宋" w:hAnsi="仿宋" w:eastAsia="仿宋" w:cs="仿宋"/>
          <w:b/>
          <w:bCs/>
          <w:sz w:val="32"/>
          <w:szCs w:val="32"/>
        </w:rPr>
        <w:t>好其他各项工作。</w:t>
      </w:r>
      <w:r>
        <w:rPr>
          <w:rFonts w:hint="eastAsia" w:ascii="仿宋" w:hAnsi="仿宋" w:eastAsia="仿宋" w:cs="仿宋"/>
          <w:sz w:val="32"/>
          <w:szCs w:val="32"/>
        </w:rPr>
        <w:t>切实抓好宣传、精神文明建设、对外联络、</w:t>
      </w:r>
      <w:r>
        <w:rPr>
          <w:rFonts w:hint="eastAsia" w:ascii="仿宋" w:hAnsi="仿宋" w:eastAsia="仿宋" w:cs="仿宋"/>
          <w:sz w:val="32"/>
          <w:szCs w:val="32"/>
          <w:lang w:eastAsia="zh-CN"/>
        </w:rPr>
        <w:t>环境保护、</w:t>
      </w:r>
      <w:r>
        <w:rPr>
          <w:rFonts w:hint="eastAsia" w:ascii="仿宋" w:hAnsi="仿宋" w:eastAsia="仿宋" w:cs="仿宋"/>
          <w:sz w:val="32"/>
          <w:szCs w:val="32"/>
        </w:rPr>
        <w:t>安全生产、</w:t>
      </w:r>
      <w:r>
        <w:rPr>
          <w:rFonts w:hint="eastAsia" w:ascii="仿宋" w:hAnsi="仿宋" w:eastAsia="仿宋" w:cs="仿宋"/>
          <w:sz w:val="32"/>
          <w:szCs w:val="32"/>
          <w:lang w:eastAsia="zh-CN"/>
        </w:rPr>
        <w:t>依法治市、深化改革、</w:t>
      </w:r>
      <w:r>
        <w:rPr>
          <w:rFonts w:hint="eastAsia" w:ascii="仿宋" w:hAnsi="仿宋" w:eastAsia="仿宋" w:cs="仿宋"/>
          <w:sz w:val="32"/>
          <w:szCs w:val="32"/>
        </w:rPr>
        <w:t>议提案办理、</w:t>
      </w:r>
      <w:r>
        <w:rPr>
          <w:rFonts w:hint="eastAsia" w:ascii="仿宋" w:hAnsi="仿宋" w:eastAsia="仿宋" w:cs="仿宋"/>
          <w:sz w:val="32"/>
          <w:szCs w:val="32"/>
          <w:lang w:eastAsia="zh-CN"/>
        </w:rPr>
        <w:t>创文创卫</w:t>
      </w:r>
      <w:r>
        <w:rPr>
          <w:rFonts w:hint="eastAsia" w:ascii="仿宋" w:hAnsi="仿宋" w:eastAsia="仿宋" w:cs="仿宋"/>
          <w:sz w:val="32"/>
          <w:szCs w:val="32"/>
        </w:rPr>
        <w:t>、节能降耗、统战、保密、档案、双拥、信访、综治、维稳、防邪、</w:t>
      </w:r>
      <w:r>
        <w:rPr>
          <w:rFonts w:hint="eastAsia" w:ascii="仿宋" w:hAnsi="仿宋" w:eastAsia="仿宋" w:cs="仿宋"/>
          <w:sz w:val="32"/>
          <w:szCs w:val="32"/>
          <w:lang w:eastAsia="zh-CN"/>
        </w:rPr>
        <w:t>扫黑除恶、</w:t>
      </w:r>
      <w:r>
        <w:rPr>
          <w:rFonts w:hint="eastAsia" w:ascii="仿宋" w:hAnsi="仿宋" w:eastAsia="仿宋" w:cs="仿宋"/>
          <w:sz w:val="32"/>
          <w:szCs w:val="32"/>
        </w:rPr>
        <w:t>工会、共青团、妇联等各方面工作。</w:t>
      </w:r>
    </w:p>
    <w:p>
      <w:pPr>
        <w:pStyle w:val="3"/>
        <w:rPr>
          <w:rStyle w:val="25"/>
          <w:rFonts w:hint="eastAsia" w:ascii="仿宋" w:hAnsi="仿宋" w:eastAsia="仿宋" w:cs="仿宋"/>
          <w:b/>
          <w:bCs w:val="0"/>
        </w:rPr>
      </w:pPr>
      <w:bookmarkStart w:id="14" w:name="_Toc15377200"/>
      <w:bookmarkStart w:id="15" w:name="_Toc15396601"/>
      <w:r>
        <w:rPr>
          <w:rFonts w:hint="eastAsia" w:ascii="仿宋" w:hAnsi="仿宋" w:eastAsia="仿宋" w:cs="仿宋"/>
          <w:b/>
          <w:bCs w:val="0"/>
          <w:color w:val="000000"/>
        </w:rPr>
        <w:t>二、机</w:t>
      </w:r>
      <w:r>
        <w:rPr>
          <w:rStyle w:val="25"/>
          <w:rFonts w:hint="eastAsia" w:ascii="仿宋" w:hAnsi="仿宋" w:eastAsia="仿宋" w:cs="仿宋"/>
          <w:b/>
          <w:bCs w:val="0"/>
        </w:rPr>
        <w:t>构设置</w:t>
      </w:r>
      <w:bookmarkEnd w:id="14"/>
      <w:bookmarkEnd w:id="15"/>
    </w:p>
    <w:p>
      <w:pPr>
        <w:spacing w:line="520" w:lineRule="exact"/>
        <w:ind w:firstLine="640" w:firstLineChars="200"/>
        <w:rPr>
          <w:rFonts w:hint="eastAsia" w:ascii="仿宋" w:hAnsi="仿宋" w:eastAsia="仿宋" w:cs="仿宋"/>
          <w:sz w:val="32"/>
          <w:szCs w:val="32"/>
        </w:rPr>
      </w:pPr>
      <w:bookmarkStart w:id="16" w:name="_Toc15378448"/>
      <w:bookmarkStart w:id="17" w:name="_Toc15306275"/>
      <w:bookmarkStart w:id="18" w:name="_Toc15377432"/>
      <w:bookmarkStart w:id="19" w:name="_Toc15377201"/>
      <w:r>
        <w:rPr>
          <w:rFonts w:hint="eastAsia" w:ascii="仿宋" w:hAnsi="仿宋" w:eastAsia="仿宋" w:cs="仿宋"/>
          <w:sz w:val="32"/>
          <w:szCs w:val="32"/>
          <w:lang w:eastAsia="zh-CN"/>
        </w:rPr>
        <w:t>巴中市产品质量检验检测中心</w:t>
      </w:r>
      <w:r>
        <w:rPr>
          <w:rFonts w:hint="eastAsia" w:ascii="仿宋" w:hAnsi="仿宋" w:eastAsia="仿宋" w:cs="仿宋"/>
          <w:sz w:val="32"/>
          <w:szCs w:val="32"/>
        </w:rPr>
        <w:t>按照综合预算原则，将全部收入和支出纳入预算管理。20</w:t>
      </w:r>
      <w:r>
        <w:rPr>
          <w:rFonts w:hint="eastAsia" w:ascii="仿宋" w:hAnsi="仿宋" w:eastAsia="仿宋" w:cs="仿宋"/>
          <w:sz w:val="32"/>
          <w:szCs w:val="32"/>
          <w:lang w:val="en-US" w:eastAsia="zh-CN"/>
        </w:rPr>
        <w:t>19</w:t>
      </w:r>
      <w:r>
        <w:rPr>
          <w:rFonts w:hint="eastAsia" w:ascii="仿宋" w:hAnsi="仿宋" w:eastAsia="仿宋" w:cs="仿宋"/>
          <w:sz w:val="32"/>
          <w:szCs w:val="32"/>
        </w:rPr>
        <w:t>年财政预算财政供给人员</w:t>
      </w:r>
      <w:r>
        <w:rPr>
          <w:rFonts w:hint="eastAsia" w:ascii="仿宋" w:hAnsi="仿宋" w:eastAsia="仿宋" w:cs="仿宋"/>
          <w:sz w:val="32"/>
          <w:szCs w:val="32"/>
          <w:lang w:val="en-US" w:eastAsia="zh-CN"/>
        </w:rPr>
        <w:t>65</w:t>
      </w:r>
      <w:r>
        <w:rPr>
          <w:rFonts w:hint="eastAsia" w:ascii="仿宋" w:hAnsi="仿宋" w:eastAsia="仿宋" w:cs="仿宋"/>
          <w:sz w:val="32"/>
          <w:szCs w:val="32"/>
        </w:rPr>
        <w:t>人，供给车辆</w:t>
      </w:r>
      <w:r>
        <w:rPr>
          <w:rFonts w:hint="eastAsia" w:ascii="仿宋" w:hAnsi="仿宋" w:eastAsia="仿宋" w:cs="仿宋"/>
          <w:sz w:val="32"/>
          <w:szCs w:val="32"/>
          <w:lang w:val="en-US" w:eastAsia="zh-CN"/>
        </w:rPr>
        <w:t>3</w:t>
      </w:r>
      <w:r>
        <w:rPr>
          <w:rFonts w:hint="eastAsia" w:ascii="仿宋" w:hAnsi="仿宋" w:eastAsia="仿宋" w:cs="仿宋"/>
          <w:sz w:val="32"/>
          <w:szCs w:val="32"/>
        </w:rPr>
        <w:t>辆，下属二级预算单位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w:t>
      </w:r>
    </w:p>
    <w:bookmarkEnd w:id="16"/>
    <w:bookmarkEnd w:id="17"/>
    <w:bookmarkEnd w:id="18"/>
    <w:bookmarkEnd w:id="19"/>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keepNext w:val="0"/>
        <w:keepLines w:val="0"/>
        <w:pageBreakBefore w:val="0"/>
        <w:widowControl w:val="0"/>
        <w:kinsoku/>
        <w:wordWrap/>
        <w:overflowPunct/>
        <w:topLinePunct w:val="0"/>
        <w:autoSpaceDN/>
        <w:bidi w:val="0"/>
        <w:snapToGrid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2019年度收</w:t>
      </w:r>
      <w:r>
        <w:rPr>
          <w:rFonts w:hint="eastAsia" w:ascii="仿宋" w:hAnsi="仿宋" w:eastAsia="仿宋" w:cs="仿宋"/>
          <w:color w:val="000000"/>
          <w:sz w:val="32"/>
          <w:szCs w:val="32"/>
          <w:lang w:eastAsia="zh-CN"/>
        </w:rPr>
        <w:t>入总计</w:t>
      </w:r>
      <w:r>
        <w:rPr>
          <w:rFonts w:hint="eastAsia" w:ascii="仿宋" w:hAnsi="仿宋" w:eastAsia="仿宋" w:cs="仿宋"/>
          <w:color w:val="000000"/>
          <w:sz w:val="32"/>
          <w:szCs w:val="32"/>
          <w:lang w:val="en-US" w:eastAsia="zh-CN"/>
        </w:rPr>
        <w:t>1228.19万元，</w:t>
      </w:r>
      <w:r>
        <w:rPr>
          <w:rFonts w:hint="eastAsia" w:ascii="仿宋" w:hAnsi="仿宋" w:eastAsia="仿宋" w:cs="仿宋"/>
          <w:color w:val="000000"/>
          <w:sz w:val="32"/>
          <w:szCs w:val="32"/>
        </w:rPr>
        <w:t>支</w:t>
      </w:r>
      <w:r>
        <w:rPr>
          <w:rFonts w:hint="eastAsia" w:ascii="仿宋" w:hAnsi="仿宋" w:eastAsia="仿宋" w:cs="仿宋"/>
          <w:color w:val="000000"/>
          <w:sz w:val="32"/>
          <w:szCs w:val="32"/>
          <w:lang w:eastAsia="zh-CN"/>
        </w:rPr>
        <w:t>出</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1815.96</w:t>
      </w:r>
      <w:r>
        <w:rPr>
          <w:rFonts w:hint="eastAsia" w:ascii="仿宋" w:hAnsi="仿宋" w:eastAsia="仿宋" w:cs="仿宋"/>
          <w:color w:val="000000"/>
          <w:sz w:val="32"/>
          <w:szCs w:val="32"/>
        </w:rPr>
        <w:t>万元。与2018年相比，收</w:t>
      </w:r>
      <w:r>
        <w:rPr>
          <w:rFonts w:hint="eastAsia" w:ascii="仿宋" w:hAnsi="仿宋" w:eastAsia="仿宋" w:cs="仿宋"/>
          <w:color w:val="000000"/>
          <w:sz w:val="32"/>
          <w:szCs w:val="32"/>
          <w:lang w:eastAsia="zh-CN"/>
        </w:rPr>
        <w:t>入增加</w:t>
      </w:r>
      <w:r>
        <w:rPr>
          <w:rFonts w:hint="eastAsia" w:ascii="仿宋" w:hAnsi="仿宋" w:eastAsia="仿宋" w:cs="仿宋"/>
          <w:color w:val="000000"/>
          <w:sz w:val="32"/>
          <w:szCs w:val="32"/>
          <w:lang w:val="en-US" w:eastAsia="zh-CN"/>
        </w:rPr>
        <w:t>19万元，</w:t>
      </w:r>
      <w:r>
        <w:rPr>
          <w:rFonts w:hint="eastAsia" w:ascii="仿宋" w:hAnsi="仿宋" w:eastAsia="仿宋" w:cs="仿宋"/>
          <w:color w:val="000000"/>
          <w:sz w:val="32"/>
          <w:szCs w:val="32"/>
        </w:rPr>
        <w:t>支</w:t>
      </w:r>
      <w:r>
        <w:rPr>
          <w:rFonts w:hint="eastAsia" w:ascii="仿宋" w:hAnsi="仿宋" w:eastAsia="仿宋" w:cs="仿宋"/>
          <w:color w:val="000000"/>
          <w:sz w:val="32"/>
          <w:szCs w:val="32"/>
          <w:lang w:eastAsia="zh-CN"/>
        </w:rPr>
        <w:t>出</w:t>
      </w:r>
      <w:r>
        <w:rPr>
          <w:rFonts w:hint="eastAsia" w:ascii="仿宋" w:hAnsi="仿宋" w:eastAsia="仿宋" w:cs="仿宋"/>
          <w:color w:val="000000"/>
          <w:sz w:val="32"/>
          <w:szCs w:val="32"/>
        </w:rPr>
        <w:t>增加</w:t>
      </w:r>
      <w:r>
        <w:rPr>
          <w:rFonts w:hint="eastAsia" w:ascii="仿宋" w:hAnsi="仿宋" w:eastAsia="仿宋" w:cs="仿宋"/>
          <w:color w:val="000000"/>
          <w:sz w:val="32"/>
          <w:szCs w:val="32"/>
          <w:lang w:val="en-US" w:eastAsia="zh-CN"/>
        </w:rPr>
        <w:t>491万元，收入</w:t>
      </w:r>
      <w:r>
        <w:rPr>
          <w:rFonts w:hint="eastAsia" w:ascii="仿宋" w:hAnsi="仿宋" w:eastAsia="仿宋" w:cs="仿宋"/>
          <w:color w:val="000000"/>
          <w:sz w:val="32"/>
          <w:szCs w:val="32"/>
        </w:rPr>
        <w:t>增长</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，支出增长</w:t>
      </w:r>
      <w:r>
        <w:rPr>
          <w:rFonts w:hint="eastAsia" w:ascii="仿宋" w:hAnsi="仿宋" w:eastAsia="仿宋" w:cs="仿宋"/>
          <w:color w:val="000000"/>
          <w:sz w:val="32"/>
          <w:szCs w:val="32"/>
          <w:lang w:val="en-US" w:eastAsia="zh-CN"/>
        </w:rPr>
        <w:t>37%，</w:t>
      </w:r>
      <w:r>
        <w:rPr>
          <w:rFonts w:hint="eastAsia" w:ascii="仿宋" w:hAnsi="仿宋" w:eastAsia="仿宋" w:cs="仿宋"/>
          <w:color w:val="000000"/>
          <w:sz w:val="32"/>
          <w:szCs w:val="32"/>
        </w:rPr>
        <w:t>主要变动原因</w:t>
      </w:r>
      <w:r>
        <w:rPr>
          <w:rFonts w:hint="eastAsia" w:ascii="仿宋" w:hAnsi="仿宋" w:eastAsia="仿宋" w:cs="仿宋"/>
          <w:color w:val="000000"/>
          <w:sz w:val="32"/>
          <w:szCs w:val="32"/>
          <w:lang w:eastAsia="zh-CN"/>
        </w:rPr>
        <w:t>：收入增加是</w:t>
      </w:r>
      <w:r>
        <w:rPr>
          <w:rFonts w:hint="eastAsia" w:ascii="仿宋" w:hAnsi="仿宋" w:eastAsia="仿宋" w:cs="仿宋"/>
          <w:sz w:val="32"/>
          <w:szCs w:val="32"/>
          <w:lang w:eastAsia="zh-CN"/>
        </w:rPr>
        <w:t>工资调标</w:t>
      </w:r>
      <w:r>
        <w:rPr>
          <w:rFonts w:hint="eastAsia" w:ascii="仿宋" w:hAnsi="仿宋" w:eastAsia="仿宋" w:cs="仿宋"/>
          <w:color w:val="000000" w:themeColor="text1"/>
          <w:sz w:val="32"/>
          <w:szCs w:val="32"/>
          <w:lang w:eastAsia="zh-CN"/>
          <w14:textFill>
            <w14:solidFill>
              <w14:schemeClr w14:val="tx1"/>
            </w14:solidFill>
          </w14:textFill>
        </w:rPr>
        <w:t>，支出增加是</w:t>
      </w:r>
      <w:r>
        <w:rPr>
          <w:rFonts w:hint="eastAsia" w:ascii="仿宋" w:hAnsi="仿宋" w:eastAsia="仿宋" w:cs="仿宋"/>
          <w:sz w:val="32"/>
          <w:szCs w:val="32"/>
        </w:rPr>
        <w:t>中央补助地方食品药品检（监）测能力建设项目</w:t>
      </w:r>
      <w:r>
        <w:rPr>
          <w:rFonts w:hint="eastAsia" w:ascii="仿宋" w:hAnsi="仿宋" w:eastAsia="仿宋" w:cs="仿宋"/>
          <w:sz w:val="32"/>
          <w:szCs w:val="32"/>
          <w:lang w:eastAsia="zh-CN"/>
        </w:rPr>
        <w:t>支出</w:t>
      </w:r>
      <w:r>
        <w:rPr>
          <w:rFonts w:hint="eastAsia" w:ascii="仿宋" w:hAnsi="仿宋" w:eastAsia="仿宋" w:cs="仿宋"/>
          <w:sz w:val="32"/>
          <w:szCs w:val="32"/>
        </w:rPr>
        <w:t>。</w:t>
      </w:r>
    </w:p>
    <w:p>
      <w:pPr>
        <w:pStyle w:val="23"/>
        <w:numPr>
          <w:ilvl w:val="0"/>
          <w:numId w:val="0"/>
        </w:numPr>
        <w:spacing w:line="600" w:lineRule="exact"/>
        <w:ind w:firstLine="640" w:firstLineChars="20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1228.19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1228.19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0"/>
        </w:numPr>
        <w:spacing w:line="600" w:lineRule="exact"/>
        <w:ind w:firstLine="640" w:firstLineChars="20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1815.96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954.28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861.68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47.4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keepNext w:val="0"/>
        <w:keepLines w:val="0"/>
        <w:pageBreakBefore w:val="0"/>
        <w:widowControl w:val="0"/>
        <w:kinsoku/>
        <w:wordWrap/>
        <w:overflowPunct/>
        <w:topLinePunct w:val="0"/>
        <w:autoSpaceDN/>
        <w:bidi w:val="0"/>
        <w:snapToGrid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2019年财政拨款收、支总计</w:t>
      </w:r>
      <w:r>
        <w:rPr>
          <w:rFonts w:hint="eastAsia" w:ascii="仿宋" w:hAnsi="仿宋" w:eastAsia="仿宋" w:cs="仿宋"/>
          <w:color w:val="000000"/>
          <w:sz w:val="32"/>
          <w:szCs w:val="32"/>
          <w:lang w:val="en-US" w:eastAsia="zh-CN"/>
        </w:rPr>
        <w:t>1228.19/1815.96</w:t>
      </w:r>
      <w:r>
        <w:rPr>
          <w:rFonts w:hint="eastAsia" w:ascii="仿宋" w:hAnsi="仿宋" w:eastAsia="仿宋" w:cs="仿宋"/>
          <w:color w:val="000000"/>
          <w:sz w:val="32"/>
          <w:szCs w:val="32"/>
        </w:rPr>
        <w:t>万元。与2018年相比，财政拨款收、支总计各增加</w:t>
      </w:r>
      <w:r>
        <w:rPr>
          <w:rFonts w:hint="eastAsia" w:ascii="仿宋" w:hAnsi="仿宋" w:eastAsia="仿宋" w:cs="仿宋"/>
          <w:color w:val="000000"/>
          <w:sz w:val="32"/>
          <w:szCs w:val="32"/>
          <w:lang w:val="en-US" w:eastAsia="zh-CN"/>
        </w:rPr>
        <w:t>19/491</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1.5/37</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收入增加是</w:t>
      </w:r>
      <w:r>
        <w:rPr>
          <w:rFonts w:hint="eastAsia" w:ascii="仿宋" w:hAnsi="仿宋" w:eastAsia="仿宋" w:cs="仿宋"/>
          <w:sz w:val="32"/>
          <w:szCs w:val="32"/>
          <w:lang w:eastAsia="zh-CN"/>
        </w:rPr>
        <w:t>工资调标</w:t>
      </w:r>
      <w:r>
        <w:rPr>
          <w:rFonts w:hint="eastAsia" w:ascii="仿宋" w:hAnsi="仿宋" w:eastAsia="仿宋" w:cs="仿宋"/>
          <w:color w:val="000000" w:themeColor="text1"/>
          <w:sz w:val="32"/>
          <w:szCs w:val="32"/>
          <w:lang w:eastAsia="zh-CN"/>
          <w14:textFill>
            <w14:solidFill>
              <w14:schemeClr w14:val="tx1"/>
            </w14:solidFill>
          </w14:textFill>
        </w:rPr>
        <w:t>，支出增加是</w:t>
      </w:r>
      <w:r>
        <w:rPr>
          <w:rFonts w:hint="eastAsia" w:ascii="仿宋" w:hAnsi="仿宋" w:eastAsia="仿宋" w:cs="仿宋"/>
          <w:sz w:val="32"/>
          <w:szCs w:val="32"/>
        </w:rPr>
        <w:t>中央补助地方食品药品检（监）测能力建设项目</w:t>
      </w:r>
      <w:r>
        <w:rPr>
          <w:rFonts w:hint="eastAsia" w:ascii="仿宋" w:hAnsi="仿宋" w:eastAsia="仿宋" w:cs="仿宋"/>
          <w:sz w:val="32"/>
          <w:szCs w:val="32"/>
          <w:lang w:eastAsia="zh-CN"/>
        </w:rPr>
        <w:t>支出</w:t>
      </w:r>
      <w:r>
        <w:rPr>
          <w:rFonts w:hint="eastAsia" w:ascii="仿宋" w:hAnsi="仿宋" w:eastAsia="仿宋" w:cs="仿宋"/>
          <w:sz w:val="32"/>
          <w:szCs w:val="32"/>
        </w:rPr>
        <w:t>。</w:t>
      </w: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keepNext w:val="0"/>
        <w:keepLines w:val="0"/>
        <w:pageBreakBefore w:val="0"/>
        <w:widowControl w:val="0"/>
        <w:kinsoku/>
        <w:wordWrap/>
        <w:overflowPunct/>
        <w:topLinePunct w:val="0"/>
        <w:autoSpaceDN/>
        <w:bidi w:val="0"/>
        <w:snapToGrid w:val="0"/>
        <w:spacing w:line="240" w:lineRule="auto"/>
        <w:ind w:firstLine="640" w:firstLineChars="200"/>
        <w:textAlignment w:val="auto"/>
        <w:rPr>
          <w:rFonts w:hint="eastAsia" w:ascii="仿宋" w:hAnsi="仿宋" w:eastAsia="仿宋" w:cs="仿宋"/>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1815.96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491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37</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s="仿宋"/>
          <w:color w:val="000000" w:themeColor="text1"/>
          <w:sz w:val="32"/>
          <w:szCs w:val="32"/>
          <w:lang w:eastAsia="zh-CN"/>
          <w14:textFill>
            <w14:solidFill>
              <w14:schemeClr w14:val="tx1"/>
            </w14:solidFill>
          </w14:textFill>
        </w:rPr>
        <w:t>支出增加是</w:t>
      </w:r>
      <w:r>
        <w:rPr>
          <w:rFonts w:hint="eastAsia" w:ascii="仿宋" w:hAnsi="仿宋" w:eastAsia="仿宋" w:cs="仿宋"/>
          <w:sz w:val="32"/>
          <w:szCs w:val="32"/>
        </w:rPr>
        <w:t>中央补助地方食品药品检（监）测能力建设项目</w:t>
      </w:r>
      <w:r>
        <w:rPr>
          <w:rFonts w:hint="eastAsia" w:ascii="仿宋" w:hAnsi="仿宋" w:eastAsia="仿宋" w:cs="仿宋"/>
          <w:sz w:val="32"/>
          <w:szCs w:val="32"/>
          <w:lang w:eastAsia="zh-CN"/>
        </w:rPr>
        <w:t>支出</w:t>
      </w:r>
      <w:r>
        <w:rPr>
          <w:rFonts w:hint="eastAsia" w:ascii="仿宋" w:hAnsi="仿宋" w:eastAsia="仿宋" w:cs="仿宋"/>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1815.96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1652.65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75.6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36.16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51.55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8460"/>
      <w:bookmarkStart w:id="36" w:name="_Toc15377444"/>
      <w:bookmarkStart w:id="37"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1815.96</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val="en-US" w:eastAsia="zh-CN"/>
        </w:rPr>
        <w:t>20138</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2013850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790.97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20805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2080505</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75.6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21011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2101102</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36.16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1815.96</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778.36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3辆。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食品药品工工业品抽样</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3</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p>
    <w:p>
      <w:pPr>
        <w:spacing w:line="600" w:lineRule="exact"/>
        <w:ind w:firstLine="640"/>
        <w:outlineLvl w:val="1"/>
        <w:rPr>
          <w:rFonts w:ascii="黑体" w:eastAsia="黑体"/>
          <w:color w:val="000000"/>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巴中市产品质量检验检测中心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111.20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14:textFill>
            <w14:solidFill>
              <w14:schemeClr w14:val="tx1"/>
            </w14:solidFill>
          </w14:textFill>
        </w:rPr>
        <w:t>主要原因是……</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巴中市产品质量检验检测中心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秦巴产品质量检验检测中心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3辆.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42</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atLeast"/>
        <w:ind w:firstLine="640" w:firstLineChars="200"/>
        <w:rPr>
          <w:rFonts w:hint="eastAsia" w:ascii="仿宋_GB2312" w:eastAsia="仿宋_GB2312"/>
          <w:color w:val="000000"/>
          <w:sz w:val="32"/>
          <w:szCs w:val="32"/>
        </w:rPr>
      </w:pPr>
      <w:bookmarkStart w:id="71" w:name="_GoBack"/>
      <w:bookmarkEnd w:id="71"/>
      <w:r>
        <w:rPr>
          <w:rFonts w:hint="eastAsia" w:ascii="仿宋_GB2312" w:hAnsi="仿宋_GB2312" w:eastAsia="仿宋_GB2312" w:cs="仿宋_GB2312"/>
          <w:sz w:val="32"/>
          <w:szCs w:val="32"/>
        </w:rPr>
        <w:t xml:space="preserve"> </w:t>
      </w:r>
      <w:r>
        <w:rPr>
          <w:rFonts w:hint="eastAsia" w:ascii="仿宋_GB2312" w:eastAsia="仿宋_GB2312"/>
          <w:b/>
          <w:color w:val="000000"/>
          <w:sz w:val="32"/>
          <w:szCs w:val="32"/>
        </w:rPr>
        <w:t>1.绩效目标管理情况</w:t>
      </w:r>
      <w:r>
        <w:rPr>
          <w:rFonts w:hint="eastAsia" w:ascii="仿宋_GB2312" w:eastAsia="仿宋_GB2312"/>
          <w:color w:val="000000"/>
          <w:sz w:val="32"/>
          <w:szCs w:val="32"/>
        </w:rPr>
        <w:t>。</w:t>
      </w:r>
    </w:p>
    <w:p>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按照预算绩效管理要求，本部门对20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年一般公共预算项目支出开展了绩效目标管理，共编制绩效目标</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个，涉及财政资金</w:t>
      </w:r>
      <w:r>
        <w:rPr>
          <w:rFonts w:hint="eastAsia" w:ascii="仿宋_GB2312" w:eastAsia="仿宋_GB2312"/>
          <w:color w:val="000000"/>
          <w:sz w:val="32"/>
          <w:szCs w:val="32"/>
          <w:lang w:val="en-US" w:eastAsia="zh-CN"/>
        </w:rPr>
        <w:t>162.5</w:t>
      </w:r>
      <w:r>
        <w:rPr>
          <w:rFonts w:hint="eastAsia" w:ascii="仿宋_GB2312" w:eastAsia="仿宋_GB2312"/>
          <w:color w:val="000000"/>
          <w:sz w:val="32"/>
          <w:szCs w:val="32"/>
        </w:rPr>
        <w:t>万元，覆盖率达到100%。</w:t>
      </w:r>
    </w:p>
    <w:p>
      <w:pPr>
        <w:spacing w:line="600" w:lineRule="atLeas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2.部门整体支出绩效自评开展情况。</w:t>
      </w:r>
    </w:p>
    <w:p>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按照预算绩效管理要求，本部门对201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年整体支出开展绩效自评，自评得分100分。</w:t>
      </w:r>
    </w:p>
    <w:p>
      <w:pPr>
        <w:jc w:val="center"/>
        <w:rPr>
          <w:rFonts w:hint="eastAsia" w:ascii="仿宋_GB2312" w:hAnsi="黑体" w:eastAsia="仿宋_GB2312"/>
          <w:color w:val="000000"/>
          <w:sz w:val="32"/>
          <w:szCs w:val="32"/>
        </w:rPr>
      </w:pPr>
      <w:r>
        <w:rPr>
          <w:rFonts w:hint="eastAsia" w:ascii="仿宋_GB2312" w:hAnsi="黑体" w:eastAsia="仿宋_GB2312"/>
          <w:color w:val="000000"/>
          <w:sz w:val="32"/>
          <w:szCs w:val="32"/>
        </w:rPr>
        <w:t>201</w:t>
      </w:r>
      <w:r>
        <w:rPr>
          <w:rFonts w:hint="eastAsia" w:ascii="仿宋_GB2312" w:hAnsi="黑体" w:eastAsia="仿宋_GB2312"/>
          <w:color w:val="000000"/>
          <w:sz w:val="32"/>
          <w:szCs w:val="32"/>
          <w:lang w:val="en-US" w:eastAsia="zh-CN"/>
        </w:rPr>
        <w:t>9</w:t>
      </w:r>
      <w:r>
        <w:rPr>
          <w:rFonts w:hint="eastAsia" w:ascii="仿宋_GB2312" w:hAnsi="黑体" w:eastAsia="仿宋_GB2312"/>
          <w:color w:val="000000"/>
          <w:sz w:val="32"/>
          <w:szCs w:val="32"/>
        </w:rPr>
        <w:t>年部门整体支出绩效评价得分表</w:t>
      </w:r>
    </w:p>
    <w:tbl>
      <w:tblPr>
        <w:tblStyle w:val="12"/>
        <w:tblW w:w="0" w:type="auto"/>
        <w:tblInd w:w="-176" w:type="dxa"/>
        <w:tblLayout w:type="fixed"/>
        <w:tblCellMar>
          <w:top w:w="0" w:type="dxa"/>
          <w:left w:w="108" w:type="dxa"/>
          <w:bottom w:w="0" w:type="dxa"/>
          <w:right w:w="108" w:type="dxa"/>
        </w:tblCellMar>
      </w:tblPr>
      <w:tblGrid>
        <w:gridCol w:w="1702"/>
        <w:gridCol w:w="2268"/>
        <w:gridCol w:w="3402"/>
        <w:gridCol w:w="2126"/>
      </w:tblGrid>
      <w:tr>
        <w:tblPrEx>
          <w:tblCellMar>
            <w:top w:w="0" w:type="dxa"/>
            <w:left w:w="108" w:type="dxa"/>
            <w:bottom w:w="0" w:type="dxa"/>
            <w:right w:w="108" w:type="dxa"/>
          </w:tblCellMar>
        </w:tblPrEx>
        <w:trPr>
          <w:trHeight w:val="240" w:hRule="atLeast"/>
        </w:trPr>
        <w:tc>
          <w:tcPr>
            <w:tcW w:w="1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一级指标</w:t>
            </w:r>
          </w:p>
        </w:tc>
        <w:tc>
          <w:tcPr>
            <w:tcW w:w="22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二级指标</w:t>
            </w:r>
          </w:p>
        </w:tc>
        <w:tc>
          <w:tcPr>
            <w:tcW w:w="34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三级指标</w:t>
            </w:r>
          </w:p>
        </w:tc>
        <w:tc>
          <w:tcPr>
            <w:tcW w:w="2126"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得分</w:t>
            </w:r>
          </w:p>
        </w:tc>
      </w:tr>
      <w:tr>
        <w:tblPrEx>
          <w:tblCellMar>
            <w:top w:w="0" w:type="dxa"/>
            <w:left w:w="108" w:type="dxa"/>
            <w:bottom w:w="0" w:type="dxa"/>
            <w:right w:w="108" w:type="dxa"/>
          </w:tblCellMar>
        </w:tblPrEx>
        <w:trPr>
          <w:trHeight w:val="520" w:hRule="atLeast"/>
        </w:trPr>
        <w:tc>
          <w:tcPr>
            <w:tcW w:w="1702" w:type="dxa"/>
            <w:vMerge w:val="restart"/>
            <w:tcBorders>
              <w:top w:val="nil"/>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部门决策（25分）</w:t>
            </w: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目标任务（15分）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相关性（5分）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413"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明确性（5分）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420"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合理性（5分）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269"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预算编制（10分）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测算依据（5分）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231" w:hRule="atLeast"/>
        </w:trPr>
        <w:tc>
          <w:tcPr>
            <w:tcW w:w="1702"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目标管理（5分）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477" w:hRule="atLeast"/>
        </w:trPr>
        <w:tc>
          <w:tcPr>
            <w:tcW w:w="1702" w:type="dxa"/>
            <w:vMerge w:val="restart"/>
            <w:tcBorders>
              <w:top w:val="nil"/>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综合管理（30分）</w:t>
            </w: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专项资金分配时限（2分）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省级财力专项预算分配时限（1分）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r>
      <w:tr>
        <w:tblPrEx>
          <w:tblCellMar>
            <w:top w:w="0" w:type="dxa"/>
            <w:left w:w="108" w:type="dxa"/>
            <w:bottom w:w="0" w:type="dxa"/>
            <w:right w:w="108" w:type="dxa"/>
          </w:tblCellMar>
        </w:tblPrEx>
        <w:trPr>
          <w:trHeight w:val="413"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中央专款分配合规率（1分）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r>
      <w:tr>
        <w:tblPrEx>
          <w:tblCellMar>
            <w:top w:w="0" w:type="dxa"/>
            <w:left w:w="108" w:type="dxa"/>
            <w:bottom w:w="0" w:type="dxa"/>
            <w:right w:w="108" w:type="dxa"/>
          </w:tblCellMar>
        </w:tblPrEx>
        <w:trPr>
          <w:trHeight w:val="277"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中期评估（2分）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执行中期评估（2分）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381"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绩效监控（5分）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预算执行进度监控（2分）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273"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绩效目标动态监控（3分）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CellMar>
            <w:top w:w="0" w:type="dxa"/>
            <w:left w:w="108" w:type="dxa"/>
            <w:bottom w:w="0" w:type="dxa"/>
            <w:right w:w="108" w:type="dxa"/>
          </w:tblCellMar>
        </w:tblPrEx>
        <w:trPr>
          <w:trHeight w:val="235"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非税收入执收情况（2分）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非税收入征收情况（1分）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r>
      <w:tr>
        <w:tblPrEx>
          <w:tblCellMar>
            <w:top w:w="0" w:type="dxa"/>
            <w:left w:w="108" w:type="dxa"/>
            <w:bottom w:w="0" w:type="dxa"/>
            <w:right w:w="108" w:type="dxa"/>
          </w:tblCellMar>
        </w:tblPrEx>
        <w:trPr>
          <w:trHeight w:val="325"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非税收入上缴情况（1分）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p>
        </w:tc>
      </w:tr>
      <w:tr>
        <w:tblPrEx>
          <w:tblCellMar>
            <w:top w:w="0" w:type="dxa"/>
            <w:left w:w="108" w:type="dxa"/>
            <w:bottom w:w="0" w:type="dxa"/>
            <w:right w:w="108" w:type="dxa"/>
          </w:tblCellMar>
        </w:tblPrEx>
        <w:trPr>
          <w:trHeight w:val="287"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资产管理（6分）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资产管理信息化情况（2分）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235"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行政事业单位资产报告情况（2分）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353" w:hRule="atLeast"/>
        </w:trPr>
        <w:tc>
          <w:tcPr>
            <w:tcW w:w="1702"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资产管理与预算管理相结合（2分）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272"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p>
        </w:tc>
        <w:tc>
          <w:tcPr>
            <w:tcW w:w="2268"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内控制度管理（2分）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内部控制度健全完整（2分）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221"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信息公开（6分）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预算公开（2分）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197"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决算公开（2分）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287"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绩效信息公开（2分）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405" w:hRule="atLeast"/>
        </w:trPr>
        <w:tc>
          <w:tcPr>
            <w:tcW w:w="1702"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绩效评价（5分）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绩效评价开展（2分）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p>
        </w:tc>
      </w:tr>
      <w:tr>
        <w:tblPrEx>
          <w:tblCellMar>
            <w:top w:w="0" w:type="dxa"/>
            <w:left w:w="108" w:type="dxa"/>
            <w:bottom w:w="0" w:type="dxa"/>
            <w:right w:w="108" w:type="dxa"/>
          </w:tblCellMar>
        </w:tblPrEx>
        <w:trPr>
          <w:trHeight w:val="127" w:hRule="atLeast"/>
        </w:trPr>
        <w:tc>
          <w:tcPr>
            <w:tcW w:w="1702"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评价结果应用（3分）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CellMar>
            <w:top w:w="0" w:type="dxa"/>
            <w:left w:w="108" w:type="dxa"/>
            <w:bottom w:w="0" w:type="dxa"/>
            <w:right w:w="108" w:type="dxa"/>
          </w:tblCellMar>
        </w:tblPrEx>
        <w:trPr>
          <w:trHeight w:val="231" w:hRule="atLeast"/>
        </w:trPr>
        <w:tc>
          <w:tcPr>
            <w:tcW w:w="1702" w:type="dxa"/>
            <w:vMerge w:val="restart"/>
            <w:tcBorders>
              <w:top w:val="nil"/>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部门绩效情况（45分）</w:t>
            </w: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履职成效（20分）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部门特性指标</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p>
        </w:tc>
      </w:tr>
      <w:tr>
        <w:tblPrEx>
          <w:tblCellMar>
            <w:top w:w="0" w:type="dxa"/>
            <w:left w:w="108" w:type="dxa"/>
            <w:bottom w:w="0" w:type="dxa"/>
            <w:right w:w="108" w:type="dxa"/>
          </w:tblCellMar>
        </w:tblPrEx>
        <w:trPr>
          <w:trHeight w:val="180"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240"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240"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157"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可持续发展能力（15分）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重点改革（重点工作）完成情况（5分）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320"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科技（制度、方法、机制等）创新（5分）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385"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人才培养（5分）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CellMar>
            <w:top w:w="0" w:type="dxa"/>
            <w:left w:w="108" w:type="dxa"/>
            <w:bottom w:w="0" w:type="dxa"/>
            <w:right w:w="108" w:type="dxa"/>
          </w:tblCellMar>
        </w:tblPrEx>
        <w:trPr>
          <w:trHeight w:val="432"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restart"/>
            <w:tcBorders>
              <w:top w:val="nil"/>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满意度（10分）</w:t>
            </w: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协作部门满意度（3分）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CellMar>
            <w:top w:w="0" w:type="dxa"/>
            <w:left w:w="108" w:type="dxa"/>
            <w:bottom w:w="0" w:type="dxa"/>
            <w:right w:w="108" w:type="dxa"/>
          </w:tblCellMar>
        </w:tblPrEx>
        <w:trPr>
          <w:trHeight w:val="396" w:hRule="atLeast"/>
        </w:trPr>
        <w:tc>
          <w:tcPr>
            <w:tcW w:w="1702"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2268" w:type="dxa"/>
            <w:vMerge w:val="continue"/>
            <w:tcBorders>
              <w:left w:val="single" w:color="auto" w:sz="4" w:space="0"/>
              <w:right w:val="single" w:color="auto" w:sz="4" w:space="0"/>
            </w:tcBorders>
            <w:shd w:val="clear" w:color="auto" w:fill="auto"/>
            <w:noWrap w:val="0"/>
            <w:vAlign w:val="center"/>
          </w:tcPr>
          <w:p>
            <w:pPr>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管理对象满意度（3分）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CellMar>
            <w:top w:w="0" w:type="dxa"/>
            <w:left w:w="108" w:type="dxa"/>
            <w:bottom w:w="0" w:type="dxa"/>
            <w:right w:w="108" w:type="dxa"/>
          </w:tblCellMar>
        </w:tblPrEx>
        <w:trPr>
          <w:trHeight w:val="411" w:hRule="atLeast"/>
        </w:trPr>
        <w:tc>
          <w:tcPr>
            <w:tcW w:w="1702"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2268"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32"/>
                <w:szCs w:val="32"/>
              </w:rPr>
            </w:pPr>
          </w:p>
        </w:tc>
        <w:tc>
          <w:tcPr>
            <w:tcW w:w="340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社会公众满意度（4分）</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p>
        </w:tc>
      </w:tr>
    </w:tbl>
    <w:p>
      <w:pPr>
        <w:rPr>
          <w:rFonts w:hint="eastAsia" w:ascii="仿宋_GB2312" w:eastAsia="仿宋_GB2312"/>
          <w:color w:val="000000"/>
          <w:sz w:val="32"/>
          <w:szCs w:val="32"/>
        </w:rPr>
      </w:pPr>
    </w:p>
    <w:p>
      <w:pPr>
        <w:spacing w:line="600" w:lineRule="atLeast"/>
        <w:ind w:firstLine="157" w:firstLineChars="49"/>
        <w:rPr>
          <w:rFonts w:hint="eastAsia" w:ascii="仿宋_GB2312" w:eastAsia="仿宋_GB2312"/>
          <w:b/>
          <w:color w:val="000000"/>
          <w:sz w:val="32"/>
          <w:szCs w:val="32"/>
        </w:rPr>
      </w:pPr>
      <w:r>
        <w:rPr>
          <w:rFonts w:hint="eastAsia" w:ascii="仿宋_GB2312" w:eastAsia="仿宋_GB2312"/>
          <w:b/>
          <w:color w:val="000000"/>
          <w:sz w:val="32"/>
          <w:szCs w:val="32"/>
        </w:rPr>
        <w:t>3.部门自行组织绩效评价开展情况。</w:t>
      </w:r>
    </w:p>
    <w:p>
      <w:pPr>
        <w:spacing w:line="600" w:lineRule="atLeas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本部门没有下属单位。</w:t>
      </w:r>
    </w:p>
    <w:p>
      <w:pPr>
        <w:jc w:val="center"/>
        <w:rPr>
          <w:rFonts w:hint="eastAsia" w:ascii="仿宋_GB2312" w:hAnsi="黑体" w:eastAsia="仿宋_GB2312"/>
          <w:color w:val="000000"/>
          <w:sz w:val="32"/>
          <w:szCs w:val="32"/>
        </w:rPr>
      </w:pPr>
      <w:r>
        <w:rPr>
          <w:rFonts w:hint="eastAsia" w:ascii="仿宋_GB2312" w:hAnsi="黑体" w:eastAsia="仿宋_GB2312"/>
          <w:color w:val="000000"/>
          <w:sz w:val="32"/>
          <w:szCs w:val="32"/>
        </w:rPr>
        <w:t>201</w:t>
      </w:r>
      <w:r>
        <w:rPr>
          <w:rFonts w:hint="eastAsia" w:ascii="仿宋_GB2312" w:hAnsi="黑体" w:eastAsia="仿宋_GB2312"/>
          <w:color w:val="000000"/>
          <w:sz w:val="32"/>
          <w:szCs w:val="32"/>
          <w:lang w:val="en-US" w:eastAsia="zh-CN"/>
        </w:rPr>
        <w:t>9</w:t>
      </w:r>
      <w:r>
        <w:rPr>
          <w:rFonts w:hint="eastAsia" w:ascii="仿宋_GB2312" w:hAnsi="黑体" w:eastAsia="仿宋_GB2312"/>
          <w:color w:val="000000"/>
          <w:sz w:val="32"/>
          <w:szCs w:val="32"/>
        </w:rPr>
        <w:t>年项目支出绩效评价得分表</w:t>
      </w:r>
    </w:p>
    <w:tbl>
      <w:tblPr>
        <w:tblStyle w:val="1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113"/>
        <w:gridCol w:w="3535"/>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18" w:type="dxa"/>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单位名称/</w:t>
            </w:r>
          </w:p>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项目名称</w:t>
            </w:r>
          </w:p>
        </w:tc>
        <w:tc>
          <w:tcPr>
            <w:tcW w:w="8270" w:type="dxa"/>
            <w:gridSpan w:val="4"/>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18" w:type="dxa"/>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一级</w:t>
            </w:r>
          </w:p>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指标</w:t>
            </w:r>
          </w:p>
        </w:tc>
        <w:tc>
          <w:tcPr>
            <w:tcW w:w="2113" w:type="dxa"/>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二级</w:t>
            </w:r>
          </w:p>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指标</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三级指标</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分值</w:t>
            </w:r>
          </w:p>
        </w:tc>
        <w:tc>
          <w:tcPr>
            <w:tcW w:w="1311" w:type="dxa"/>
            <w:noWrap w:val="0"/>
            <w:vAlign w:val="center"/>
          </w:tcPr>
          <w:p>
            <w:pPr>
              <w:widowControl/>
              <w:spacing w:line="2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项目决策</w:t>
            </w:r>
          </w:p>
        </w:tc>
        <w:tc>
          <w:tcPr>
            <w:tcW w:w="2113"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科学决策</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必要性</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（政策依据)</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可行性</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（政策完善）</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绩效目标    </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明确性</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合理性</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项目管理</w:t>
            </w:r>
          </w:p>
        </w:tc>
        <w:tc>
          <w:tcPr>
            <w:tcW w:w="2113"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资金管理</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资金分配</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资金使用</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项目执行</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执行规范</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18"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（特性指标70分）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项目绩效  </w:t>
            </w:r>
          </w:p>
        </w:tc>
        <w:tc>
          <w:tcPr>
            <w:tcW w:w="2113"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项目完成</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完成数量</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5 </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完成质量</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5 </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完成时效</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完成成本</w:t>
            </w:r>
          </w:p>
        </w:tc>
        <w:tc>
          <w:tcPr>
            <w:tcW w:w="1311"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restart"/>
            <w:shd w:val="clear" w:color="auto" w:fill="auto"/>
            <w:noWrap w:val="0"/>
            <w:textDirection w:val="tbRlV"/>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（50分）</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项目效益</w:t>
            </w: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经济效益（可选项）</w:t>
            </w:r>
          </w:p>
        </w:tc>
        <w:tc>
          <w:tcPr>
            <w:tcW w:w="1311" w:type="dxa"/>
            <w:vMerge w:val="restart"/>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40</w:t>
            </w: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8"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2113"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3535" w:type="dxa"/>
            <w:shd w:val="clear" w:color="auto" w:fill="auto"/>
            <w:noWrap w:val="0"/>
            <w:vAlign w:val="center"/>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社会效益（可选项）</w:t>
            </w:r>
          </w:p>
        </w:tc>
        <w:tc>
          <w:tcPr>
            <w:tcW w:w="1311" w:type="dxa"/>
            <w:vMerge w:val="continue"/>
            <w:shd w:val="clear" w:color="auto" w:fill="auto"/>
            <w:noWrap w:val="0"/>
            <w:vAlign w:val="center"/>
          </w:tcPr>
          <w:p>
            <w:pPr>
              <w:widowControl/>
              <w:spacing w:line="260" w:lineRule="exact"/>
              <w:jc w:val="left"/>
              <w:rPr>
                <w:rFonts w:hint="eastAsia" w:ascii="仿宋_GB2312" w:hAnsi="宋体" w:eastAsia="仿宋_GB2312" w:cs="宋体"/>
                <w:color w:val="000000"/>
                <w:kern w:val="0"/>
                <w:sz w:val="32"/>
                <w:szCs w:val="32"/>
              </w:rPr>
            </w:pPr>
          </w:p>
        </w:tc>
        <w:tc>
          <w:tcPr>
            <w:tcW w:w="1311" w:type="dxa"/>
            <w:noWrap w:val="0"/>
            <w:vAlign w:val="top"/>
          </w:tcPr>
          <w:p>
            <w:pPr>
              <w:widowControl/>
              <w:spacing w:line="26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w:t>
            </w:r>
          </w:p>
        </w:tc>
      </w:tr>
    </w:tbl>
    <w:p>
      <w:pPr>
        <w:spacing w:line="580"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XX</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XXX</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5"/>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14:textFill>
            <w14:solidFill>
              <w14:schemeClr w14:val="tx1"/>
            </w14:solidFill>
          </w14:textFill>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B312F6"/>
    <w:rsid w:val="10C055FF"/>
    <w:rsid w:val="13FF568A"/>
    <w:rsid w:val="16BB723D"/>
    <w:rsid w:val="18CD60E3"/>
    <w:rsid w:val="1DCA08D5"/>
    <w:rsid w:val="240371BF"/>
    <w:rsid w:val="26B33EF9"/>
    <w:rsid w:val="29FD04D3"/>
    <w:rsid w:val="2B114CE0"/>
    <w:rsid w:val="319F7F4E"/>
    <w:rsid w:val="4ECE2238"/>
    <w:rsid w:val="55941C40"/>
    <w:rsid w:val="5DC9265C"/>
    <w:rsid w:val="611E7E41"/>
    <w:rsid w:val="6E60382F"/>
    <w:rsid w:val="72734D90"/>
    <w:rsid w:val="729357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15"/>
    <w:basedOn w:val="13"/>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2021-05-27T08:18:57Z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55A4F1E0138C490494120DF5230930AF</vt:lpwstr>
  </property>
</Properties>
</file>