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2891C6">
      <w:pPr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left"/>
        <w:textAlignment w:val="auto"/>
        <w:rPr>
          <w:rFonts w:hint="eastAsia" w:ascii="黑体" w:hAnsi="黑体" w:eastAsia="黑体" w:cs="黑体"/>
          <w:b w:val="0"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4" w:name="_GoBack"/>
      <w:bookmarkEnd w:id="4"/>
      <w:r>
        <w:rPr>
          <w:rFonts w:hint="eastAsia" w:ascii="黑体" w:hAnsi="黑体" w:eastAsia="黑体" w:cs="黑体"/>
          <w:b w:val="0"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附件</w:t>
      </w:r>
    </w:p>
    <w:p w14:paraId="038199C4">
      <w:pPr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i w:val="0"/>
          <w:caps w:val="0"/>
          <w:color w:val="auto"/>
          <w:spacing w:val="0"/>
          <w:kern w:val="0"/>
          <w:sz w:val="44"/>
          <w:szCs w:val="44"/>
          <w:shd w:val="clear" w:fill="FFFFFF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i w:val="0"/>
          <w:caps w:val="0"/>
          <w:color w:val="auto"/>
          <w:spacing w:val="0"/>
          <w:kern w:val="0"/>
          <w:sz w:val="44"/>
          <w:szCs w:val="44"/>
          <w:shd w:val="clear" w:fill="FFFFFF"/>
          <w:lang w:val="en-US" w:eastAsia="zh-CN" w:bidi="ar"/>
        </w:rPr>
        <w:t>全自动平行浓缩仪等9台设备参数技术要求</w:t>
      </w:r>
    </w:p>
    <w:p w14:paraId="73BBCF07">
      <w:pPr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i w:val="0"/>
          <w:caps w:val="0"/>
          <w:color w:val="auto"/>
          <w:spacing w:val="0"/>
          <w:kern w:val="0"/>
          <w:sz w:val="44"/>
          <w:szCs w:val="44"/>
          <w:shd w:val="clear" w:fill="FFFFFF"/>
          <w:lang w:val="en-US" w:eastAsia="zh-CN" w:bidi="ar"/>
        </w:rPr>
      </w:pP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0"/>
        <w:gridCol w:w="1144"/>
        <w:gridCol w:w="12120"/>
      </w:tblGrid>
      <w:tr w14:paraId="089A2A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tblHeader/>
          <w:jc w:val="center"/>
        </w:trPr>
        <w:tc>
          <w:tcPr>
            <w:tcW w:w="730" w:type="dxa"/>
            <w:vAlign w:val="center"/>
          </w:tcPr>
          <w:p w14:paraId="64D7C3E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序号</w:t>
            </w:r>
          </w:p>
        </w:tc>
        <w:tc>
          <w:tcPr>
            <w:tcW w:w="1144" w:type="dxa"/>
            <w:vAlign w:val="center"/>
          </w:tcPr>
          <w:p w14:paraId="58B04D2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设备名称</w:t>
            </w:r>
          </w:p>
        </w:tc>
        <w:tc>
          <w:tcPr>
            <w:tcW w:w="12120" w:type="dxa"/>
            <w:vAlign w:val="center"/>
          </w:tcPr>
          <w:p w14:paraId="634CE87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技术参数</w:t>
            </w:r>
          </w:p>
        </w:tc>
      </w:tr>
      <w:tr w14:paraId="05441F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0" w:type="dxa"/>
            <w:vAlign w:val="center"/>
          </w:tcPr>
          <w:p w14:paraId="6DCE80A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1144" w:type="dxa"/>
            <w:vAlign w:val="center"/>
          </w:tcPr>
          <w:p w14:paraId="47BFDDF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光能电子滴定器</w:t>
            </w:r>
          </w:p>
        </w:tc>
        <w:tc>
          <w:tcPr>
            <w:tcW w:w="12120" w:type="dxa"/>
            <w:vAlign w:val="center"/>
          </w:tcPr>
          <w:p w14:paraId="68008E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1.1、工作条件：室温：0-40℃，湿度：≤80%。</w:t>
            </w:r>
          </w:p>
          <w:p w14:paraId="41D567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1.2、各部件技术指标：</w:t>
            </w:r>
          </w:p>
          <w:p w14:paraId="182182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1）实验室光能面板提供能源的电子滴定器，适合各种常规性指示剂法滴定实验；</w:t>
            </w:r>
          </w:p>
          <w:p w14:paraId="62716A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2）套筒和活塞材质可耐各种浓度的酸式或碱式滴定溶液；</w:t>
            </w:r>
          </w:p>
          <w:p w14:paraId="5FA658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3）具有三向导流阀，方便设置排液、密封、回流等操作，所有阀门都可用安装扳手轻松装卸，耐腐蚀和磨损；</w:t>
            </w:r>
          </w:p>
          <w:p w14:paraId="3A6FBF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4）所有与试剂接触的部件都由耐腐蚀材料制成，阀体材料为ECTFE，吸液管和出液管材料为 FEP，方便清洗和维护；</w:t>
            </w:r>
          </w:p>
          <w:p w14:paraId="5E5ECB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5）操作手柄采用杠杆定律，双向两档可调，可进行快速滴定或精准微量滴定。</w:t>
            </w:r>
          </w:p>
          <w:p w14:paraId="1785A0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6）仪器使用安装无特定环境限制，光能驱动，无需电池或电源，绿色环保无充电成本；</w:t>
            </w:r>
          </w:p>
          <w:p w14:paraId="3F79B8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7）易操作的多功能安全阀，可以有效建立试剂回收系统，可安全方便消泡并洄流试剂。安全阀内置在主机内，不再出现滴定漏液；在滴定操作后，可将安全阀调至密封档位，确保滴定液密封；</w:t>
            </w:r>
          </w:p>
          <w:p w14:paraId="04CBB9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8）具有数据采集进口，可以选配软件经数据接口，采集滴定程序数据导入电脑；</w:t>
            </w:r>
          </w:p>
          <w:p w14:paraId="5A7880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9）规格要求：50ml；</w:t>
            </w:r>
          </w:p>
          <w:p w14:paraId="2DCC47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10）最小分度：0.01ml；</w:t>
            </w:r>
          </w:p>
          <w:p w14:paraId="7750C0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11）精度(A%)≤±0.2%，误差(CV%)≤0.1%；</w:t>
            </w:r>
          </w:p>
          <w:p w14:paraId="79AEC2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12）带防倾倒固定底座，保证滴定操作过程安全平稳。</w:t>
            </w:r>
          </w:p>
          <w:p w14:paraId="2903BC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13）供货时附有官方计量认证机构出具的计量校准证书，保证仪器合规且准确使用。</w:t>
            </w:r>
          </w:p>
        </w:tc>
      </w:tr>
      <w:tr w14:paraId="78EBB0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0" w:type="dxa"/>
            <w:vAlign w:val="center"/>
          </w:tcPr>
          <w:p w14:paraId="3B6B6FA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2</w:t>
            </w:r>
          </w:p>
        </w:tc>
        <w:tc>
          <w:tcPr>
            <w:tcW w:w="1144" w:type="dxa"/>
            <w:vAlign w:val="center"/>
          </w:tcPr>
          <w:p w14:paraId="238A356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垂直振荡器</w:t>
            </w:r>
          </w:p>
        </w:tc>
        <w:tc>
          <w:tcPr>
            <w:tcW w:w="12120" w:type="dxa"/>
            <w:vAlign w:val="center"/>
          </w:tcPr>
          <w:p w14:paraId="194DFA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1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基本参数</w:t>
            </w:r>
          </w:p>
          <w:p w14:paraId="17E8A4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1.1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振荡速度范围：100-1800rpm，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转速精度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eastAsia="zh-CN"/>
              </w:rPr>
              <w:t>≤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eastAsia="zh-CN"/>
              </w:rPr>
              <w:t>%）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额定最大振幅：≥32mm。（提供厂家证明文件，并分别说明两者的测试方法）</w:t>
            </w:r>
          </w:p>
          <w:p w14:paraId="24FA5C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.2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振荡循环功能：可设置连续震荡时间1-40min和震荡间隔时间1-60min，最大循环次数≥20循环。（提供主机操作界面循环次数设定的实拍图）</w:t>
            </w:r>
          </w:p>
          <w:p w14:paraId="0C0C30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1.3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预约运行功能：可预约时间≥12小时。</w:t>
            </w:r>
          </w:p>
          <w:p w14:paraId="31137A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1.4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 xml:space="preserve">梯度程序控制：≥4段运行转速、运行时间可设置。（提供主机操作界面实拍图证明） </w:t>
            </w:r>
          </w:p>
          <w:p w14:paraId="29E6BC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1.5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样品架位数：50ml*20位、15ml*38位、100ml*10位、2ml*54位,满足不同实验应用需求，其他规格样品架可定制。</w:t>
            </w:r>
            <w:bookmarkStart w:id="0" w:name="OLE_LINK3"/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（需提供样品架图片证明）</w:t>
            </w:r>
          </w:p>
          <w:bookmarkEnd w:id="0"/>
          <w:p w14:paraId="35F587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1.6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最大样品位数：576位。</w:t>
            </w:r>
          </w:p>
          <w:p w14:paraId="7952F4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1.7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智能操作软件：实时显示仪器当前运行状态，包括振荡频率、研磨时间、间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隔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时间、循环次数、预约时间。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中英文界面自由切换。日志及单独的报错信息收集显示，方便客户了解设备情况及状态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（提供主机操作屏幕实拍图片证明）</w:t>
            </w:r>
          </w:p>
          <w:p w14:paraId="7DAC49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1.8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 xml:space="preserve">方法存储数量：≥50个方法程序可编辑、存储、调用。 </w:t>
            </w:r>
          </w:p>
          <w:p w14:paraId="23844B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1.9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程序记忆功能：仪器运行过程中可随时停止、随时暂停以及再次启动运行前序未完成的程序。</w:t>
            </w:r>
          </w:p>
          <w:p w14:paraId="3049BC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1.10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可视性：具有≥14英寸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双层透明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可视窗，腔体内自带照明功能，运行过程可视。（提供视窗≥14英寸，并且开启照明的仪器实拍图及软件控制照明开关的界面）</w:t>
            </w:r>
          </w:p>
          <w:p w14:paraId="32D2A89F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1.1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配备紧急机械开门装置：以应对突然停电，电子琐没法打开情况</w:t>
            </w:r>
          </w:p>
          <w:p w14:paraId="076717D7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  <w:t>1.1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  <w:t>仪器上盖配备双氮气弹簧支撑助力模块，辅助仪器安全开关盖。</w:t>
            </w:r>
            <w:bookmarkStart w:id="1" w:name="OLE_LINK5"/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  <w:t>样品架采用双锁杆、双螺母固定方式。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（需提供腔体内双锁杆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及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腔体内双氮气弹簧图片证明图片证明）</w:t>
            </w:r>
          </w:p>
          <w:bookmarkEnd w:id="1"/>
          <w:p w14:paraId="5DD75351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  <w:t>1.1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3、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仪器内部采用隔音棉处理，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仪器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盖做隔音密封处理，超强静音效果。</w:t>
            </w:r>
          </w:p>
          <w:p w14:paraId="7C3D62EE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1.14、底托和电机通过结构件多点同时固定，加大接触面，提高运动组件的寿命，无需对运动轴定期涂抹润滑油（提供连接处图片）</w:t>
            </w:r>
          </w:p>
          <w:p w14:paraId="341E5C15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1.1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5、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安全电子琐：开启保护门后，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设备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自动停止运行，保护门关闭后才能正常运行，保证人员安全。</w:t>
            </w:r>
          </w:p>
          <w:p w14:paraId="0D3E0D1F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1.16、运行前自动进行超重检测，防止设备在超负载情况下运行，延长设备使用寿命（提供超重检测时仪器界面显示照片）</w:t>
            </w:r>
          </w:p>
          <w:p w14:paraId="657C39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1.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17、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机身正面具有明显的紧急按钮，当出现紧急情况时，可以一键急停。</w:t>
            </w:r>
          </w:p>
          <w:p w14:paraId="186BED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1.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18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仪器整机较小，占地面积＜0.2平方米，可任意放置在实验台面或矮台上进行操作，适应各种实验室场地情况。</w:t>
            </w:r>
          </w:p>
          <w:p w14:paraId="7AD3EA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配置</w:t>
            </w:r>
          </w:p>
          <w:p w14:paraId="5A117E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2.1 20位50ml垂直振荡器主机（具备≥32mm幅度1800rpm震荡模块、≥4段调速控制模块、7英寸彩色触摸屏均已装入主机）1台</w:t>
            </w:r>
          </w:p>
          <w:p w14:paraId="108C42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2.2 20位50ml样品架1个</w:t>
            </w:r>
          </w:p>
          <w:p w14:paraId="50BAD8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2.3 38位15ml样品架1个</w:t>
            </w:r>
          </w:p>
        </w:tc>
      </w:tr>
      <w:tr w14:paraId="4B0806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8" w:hRule="atLeast"/>
          <w:jc w:val="center"/>
        </w:trPr>
        <w:tc>
          <w:tcPr>
            <w:tcW w:w="730" w:type="dxa"/>
            <w:vAlign w:val="center"/>
          </w:tcPr>
          <w:p w14:paraId="3D096E2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3</w:t>
            </w:r>
          </w:p>
        </w:tc>
        <w:tc>
          <w:tcPr>
            <w:tcW w:w="1144" w:type="dxa"/>
            <w:vAlign w:val="center"/>
          </w:tcPr>
          <w:p w14:paraId="230BEB7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全自动平行浓缩仪</w:t>
            </w:r>
          </w:p>
        </w:tc>
        <w:tc>
          <w:tcPr>
            <w:tcW w:w="12120" w:type="dxa"/>
            <w:vAlign w:val="center"/>
          </w:tcPr>
          <w:p w14:paraId="6D36B8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>1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>工作条件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 xml:space="preserve">    </w:t>
            </w:r>
          </w:p>
          <w:p w14:paraId="4FDBA5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 xml:space="preserve"> 1.1  工作环境温度: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10-40℃</w:t>
            </w:r>
          </w:p>
          <w:p w14:paraId="4016B4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 xml:space="preserve"> 1.2  湿度: 20 - 80 %</w:t>
            </w:r>
          </w:p>
          <w:p w14:paraId="6034C5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 xml:space="preserve"> 1.3  电源: 单相200-240 V, 50/60 Hz</w:t>
            </w:r>
          </w:p>
          <w:p w14:paraId="2D81A9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>2.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>技术规格及要求</w:t>
            </w:r>
          </w:p>
          <w:p w14:paraId="2886C7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2.1 利用水浴均匀加热和氮吹共同作用的方式对样品进行平行浓缩</w:t>
            </w:r>
          </w:p>
          <w:p w14:paraId="2D8E27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2.2 批量处理能力：可36个80ml样品同时进行浓缩。</w:t>
            </w:r>
          </w:p>
          <w:p w14:paraId="2536B1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2.3 浓缩管体积：10ml~80ml，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</w:rPr>
              <w:t>可兼容多种不同规格浓缩管，并有多种试管支架可选。</w:t>
            </w:r>
          </w:p>
          <w:p w14:paraId="5D426C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2.4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</w:rPr>
              <w:t>浓缩过程中，氮吹针可随液面自动匀速下降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，可通过软件对针位移速度进行直接的设定，</w:t>
            </w:r>
            <w:bookmarkStart w:id="2" w:name="_Hlk209518769"/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垂直移动距离≥150mm，全程保持最佳距离，提高浓缩效率，节约氮气。</w:t>
            </w:r>
            <w:bookmarkEnd w:id="2"/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（需提供氮吹针自动下降的过程、软件界面实拍图并说明）</w:t>
            </w:r>
          </w:p>
          <w:p w14:paraId="41597A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2.5 氮吹针升降模式可选择：手动控制升降或自动升降。</w:t>
            </w:r>
          </w:p>
          <w:p w14:paraId="6DEB88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 xml:space="preserve">2.6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</w:rPr>
              <w:t>电子气流控制范围：0-70psi，仪器使用电气比例调节阀对氮吹压力进行自动控制，除了气源处的减压阀，仪器使用无任何需要手动调节的压力阀。</w:t>
            </w:r>
          </w:p>
          <w:p w14:paraId="179E1F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2.7每排氮气通道仪可单独控制，每个通道的气流由比例调节阀进行自动分配，出气口气流大小有软件直接设定，气流大小不受开启通道数的影响。</w:t>
            </w:r>
          </w:p>
          <w:p w14:paraId="2184CD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2.8 氮吹针可在主机待机关机的情况下，无任何工具的协助下手动整排快速拔除拆卸，无需拆卸任何螺母等固定结构，方便清洗和更换。（需提供氮吹针拆装的实拍图并说明）</w:t>
            </w:r>
          </w:p>
          <w:p w14:paraId="428A64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</w:rPr>
              <w:t>2.9 可独立控制的氮气通道数量：6通道，6通道均为独立开关阀，可更精细切换不同的浓缩样品数量，在样品数量不同时的有效减少人为操作，节约氮气消耗。</w:t>
            </w:r>
          </w:p>
          <w:p w14:paraId="6BD33D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2.10 可视玻璃窗设计，用户可随时观察浓缩状态，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</w:rPr>
              <w:t>浓缩仪前部开窗控制并具有照明功能，浓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缩过程可视，无须拿出杯子后观察是否浓缩到期待体积的繁琐操作。</w:t>
            </w:r>
          </w:p>
          <w:p w14:paraId="37C668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2.11 可与全自动固相萃取仪共用样品架，实现样品前处理步骤的完美连接，大大提高前处理的效率。</w:t>
            </w:r>
          </w:p>
          <w:p w14:paraId="7051E1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2.12 具有单独的氮吹至近干模块，可外置独立的手持气路用于手动对样品进行近干的操。</w:t>
            </w:r>
          </w:p>
          <w:p w14:paraId="0F49C4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2.13 水浴加热模块移动方式：电动抽屉式，前后移动行程≥180mm。（提供水浴加热模块移动到最外部和最内部的两张图片，通过直尺辅助测量，前后距离差须≥180mm）</w:t>
            </w:r>
          </w:p>
          <w:p w14:paraId="117522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2.13.1 水浴方式加热，导热效率高、均匀，浓缩速度快。</w:t>
            </w:r>
          </w:p>
          <w:p w14:paraId="10B42A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2.13.2 控温方式：PID；控温精度：±0.1℃；控温范围：室温~90℃。</w:t>
            </w:r>
          </w:p>
          <w:p w14:paraId="1F9834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2.14 样品架与加热模块分体式设计，可不拆卸任何部件的情况下手动进行样品架的更换， 直接切换60位80ml样品架和60位20ml样品架，浓缩位数不变。</w:t>
            </w:r>
          </w:p>
          <w:p w14:paraId="57FB2A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2.15 浓缩过程中水浴加热模块具有锁定功能：浓缩时水浴抽屉自动前后移动关闭实现锁定功能，暂停或结束时水浴抽屉可自动前向打开，氮吹针同步自动升降或复位。（需提供水浴抽屉自动前后移动过程中不同位置的实拍图、氮吹针自动复位过程的实拍图并说明）</w:t>
            </w:r>
          </w:p>
          <w:p w14:paraId="7C3934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2.16 具有压力超限报警等功能，并自动切断气流，方便安全。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ab/>
            </w:r>
          </w:p>
          <w:p w14:paraId="39841D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2.17 操作系统：触控屏内置在主机正面中间位置，无需占用其他台面空间。</w:t>
            </w:r>
          </w:p>
          <w:p w14:paraId="528D32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bookmarkStart w:id="3" w:name="_Hlk155813102"/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2.18 运行过程中，显示面板实时显示浓缩时间、气压、温度、氮吹针追随速度等参数信息，并可以实时更改。</w:t>
            </w:r>
          </w:p>
          <w:p w14:paraId="63B295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2.19 可储存方法条目数≥110条，所有参数方法一键保存、调用，开机后即可运行。</w:t>
            </w:r>
            <w:bookmarkEnd w:id="3"/>
          </w:p>
          <w:p w14:paraId="7D4C00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>3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>仪器配置</w:t>
            </w:r>
          </w:p>
          <w:p w14:paraId="3A369F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3.1 全自动平行浓缩仪主机 1台</w:t>
            </w:r>
          </w:p>
          <w:p w14:paraId="6A3348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3.2 针座模组（6位） 6套</w:t>
            </w:r>
          </w:p>
          <w:p w14:paraId="10C699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3.3 60位20ml样品架 1套</w:t>
            </w:r>
          </w:p>
          <w:p w14:paraId="79701C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3.4 60位80ml样品架 1套</w:t>
            </w:r>
          </w:p>
          <w:p w14:paraId="1DBC36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3.5 氮吹针堵头（100个/包） 1包</w:t>
            </w:r>
          </w:p>
          <w:p w14:paraId="71333E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3.6 近干模组 1套</w:t>
            </w:r>
          </w:p>
          <w:p w14:paraId="3FE710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3.7 内置控制软件 1套</w:t>
            </w:r>
          </w:p>
          <w:p w14:paraId="57F120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>4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>质保及备件供应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：保证产品为全新原厂设备；合同签订后60天内到货；仪器在调试通过后提供保修服务，保修期一年；在保修期内，所有服务及配件全部免费,保修期外，能更及时地为用户提供备品备件。</w:t>
            </w:r>
          </w:p>
          <w:p w14:paraId="5012CC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>5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>技术服务：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提供快捷、周到、规范的技术服务，仪器出现故障时，供货或服务商维修人员在接到通知后24小时内响应，48小时内到现场维修。提供仪器设备详细的中文操作手册。</w:t>
            </w:r>
          </w:p>
          <w:p w14:paraId="66BF35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>6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>应用支持：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 xml:space="preserve"> 厂家有应用研发实验室，能够为用户在固相萃取技术的方法开发及优化方面提供支持及协助。</w:t>
            </w:r>
          </w:p>
          <w:p w14:paraId="72227F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7、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>仪器尺寸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</w:rPr>
              <w:t>55*40*58（长*宽*高），可以放通阀橱使用，安装配置模块后也可以不放通风橱。</w:t>
            </w:r>
          </w:p>
        </w:tc>
      </w:tr>
      <w:tr w14:paraId="3F425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30" w:type="dxa"/>
            <w:vAlign w:val="center"/>
          </w:tcPr>
          <w:p w14:paraId="39C9B9C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4</w:t>
            </w:r>
          </w:p>
        </w:tc>
        <w:tc>
          <w:tcPr>
            <w:tcW w:w="1144" w:type="dxa"/>
            <w:vAlign w:val="center"/>
          </w:tcPr>
          <w:p w14:paraId="180C6AC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三维多点涡旋振荡器</w:t>
            </w:r>
          </w:p>
        </w:tc>
        <w:tc>
          <w:tcPr>
            <w:tcW w:w="12120" w:type="dxa"/>
            <w:vAlign w:val="center"/>
          </w:tcPr>
          <w:p w14:paraId="6674992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1、仪器具备功能：混合速度快、彻底、液体呈旋涡状能将附在管壁上的试液全部混匀。可用于药品等不同类型样品及QuEChERS前处理高通量混合要求的液液涡旋混合及固液涡旋混合。</w:t>
            </w:r>
          </w:p>
          <w:p w14:paraId="70078A0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2、采用圆形扎带捆绑，内置24V LED灯带，方便放置样品和观察样品涡旋效果。</w:t>
            </w:r>
          </w:p>
          <w:p w14:paraId="09AC7F5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3、强力震荡，一般在转速1800rpm时即可混匀样品，实时数字显示转速，最高转速可达4000rpm，可连续调整速度范围从300-4000rpm。</w:t>
            </w:r>
          </w:p>
          <w:p w14:paraId="4CE475A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4、它可以容纳不少于16位直径16-32mm的管子或不少于28位9-18mm直径的管子。厚壁比色管、玻璃耐压管、四氟塞反应试管、纳氏比色管、离心管、有机玻璃管、高硼硅管等（带扣盖或者旋盖式的管子）</w:t>
            </w:r>
          </w:p>
          <w:p w14:paraId="0DF0162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5、数字计时器可以无人看管下运行1到5999分钟，当设置的时间结束后会自动操作停止。</w:t>
            </w:r>
          </w:p>
          <w:p w14:paraId="26A1962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6、最大振幅3mm，满载情况下仪器依然能保持优秀的混匀效果和稳定性。</w:t>
            </w:r>
          </w:p>
          <w:p w14:paraId="7D0BC6A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7、按键式操作，避免触摸屏因为潮湿，带棉布劳工手套操作不灵敏的情况。</w:t>
            </w:r>
          </w:p>
          <w:p w14:paraId="191B473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8、调控方式：LCD数显。</w:t>
            </w:r>
          </w:p>
          <w:p w14:paraId="374725D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9、转速范围：300-4000rpm。</w:t>
            </w:r>
          </w:p>
          <w:p w14:paraId="0BDEB80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10、控制模式:定时或连续。</w:t>
            </w:r>
          </w:p>
          <w:p w14:paraId="1A85A2B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11、运行时间：1～99小时59分钟或连续</w:t>
            </w:r>
          </w:p>
          <w:p w14:paraId="298218B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12、振荡方式：三维旋转</w:t>
            </w:r>
          </w:p>
          <w:p w14:paraId="0A252B8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13、振幅：3mm</w:t>
            </w:r>
          </w:p>
          <w:p w14:paraId="6215B97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14、适配器规格：≥16位直径16-32mm的管子（30-50ml），≥28位直径9-18mm的管子（5-25ml）</w:t>
            </w:r>
          </w:p>
          <w:p w14:paraId="4A2FC1E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15、额定功率:≥150W</w:t>
            </w:r>
          </w:p>
          <w:p w14:paraId="6A8951C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16、额定电压：220V 50Hz,</w:t>
            </w:r>
          </w:p>
          <w:p w14:paraId="6CC00BD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17、最大负载：≥1.8kg</w:t>
            </w:r>
          </w:p>
          <w:p w14:paraId="791CBED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18、配置清单：主机1台，样品适配器2套，拆卸工具1份，电源线1根，合格证保修卡说明书各1份。</w:t>
            </w:r>
          </w:p>
        </w:tc>
      </w:tr>
      <w:tr w14:paraId="275169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0" w:type="dxa"/>
            <w:vAlign w:val="center"/>
          </w:tcPr>
          <w:p w14:paraId="49A6504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5</w:t>
            </w:r>
          </w:p>
        </w:tc>
        <w:tc>
          <w:tcPr>
            <w:tcW w:w="1144" w:type="dxa"/>
            <w:vAlign w:val="center"/>
          </w:tcPr>
          <w:p w14:paraId="09170B3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超低温冰箱</w:t>
            </w:r>
          </w:p>
        </w:tc>
        <w:tc>
          <w:tcPr>
            <w:tcW w:w="12120" w:type="dxa"/>
            <w:shd w:val="clear" w:color="auto" w:fill="auto"/>
            <w:vAlign w:val="center"/>
          </w:tcPr>
          <w:p w14:paraId="1244F4D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left"/>
              <w:textAlignment w:val="auto"/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1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、箱内温度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 xml:space="preserve"> -40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℃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 xml:space="preserve"> ~-86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℃可调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2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、微电脑控制，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10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寸高性能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LCD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电容屏，直观显示箱内温度、环境温度、输入电压和温度曲线等数据，显示精度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0.1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℃，可连接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wifi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实现网络功能；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3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、冰箱内有效容积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≥560L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，整机装箱量（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2ml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冻存管容量）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40000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份样本；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4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、具有运行指示灯，正常运行显示绿色，出现报警或故障显示红色或黄色；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5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、具有多种故障报警，高低温报警、传感器故障报警、冷凝器脏报警、环温超标报警、断电报警、开门报警、电池未连接报警；报警方式，声音蜂鸣报警、灯光闪烁报警；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6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、多重保护功能，开机延时保护、过电流保护、过压保护、显示屏密码保护、断电记忆数据保护；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7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、采用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HC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环保制冷剂，制冷效率高，节能环保；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8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、采用双级复叠制冷系统，高温级压机和低温级压机配合制冷，制冷效率高；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9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、根据低温保存箱国家标准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GB/T 20154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要求，低温保存箱铭牌或标签上要标注制冷剂的详细名称及装入量；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10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、符合《低温保存箱节能环保认证技术规范》要求，并获取节能、环保报告及证书；提供中国质量中心节能证书和环保证书（原件备查，并提供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CQC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网站截图及网址备查）；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11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、整机稳定运行功率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≤900W;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12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、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25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℃环温时，耗电量应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≤7 Kw.h/24h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；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13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、箱内温度均匀性要求，每层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5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个测试点（四角及中心），整机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≥20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点测试，温度均匀性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≤±5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℃；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14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、一体式手把门锁设计，单手实现开关门。可同时使用暗锁（四把钥匙）及双挂锁，选配电磁锁（打卡或指纹）；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15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、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4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个发泡内门并带密封条设计，外门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4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层密封，整机共计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5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层密封，保温效果好；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16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、使用航空真空隔热材料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VIP+PU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整体发泡（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90mm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），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VIP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厚度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≥25mm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；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17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、内胆为电锌板喷粉，防腐蚀，导热快；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18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、具两个测试孔，方便实验使用和监控箱内温度。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19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、具有内置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5V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冷链供电系统，确保用电安全，减少外部布线，降低故障风险。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20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、电脑版配置大容量存储空间，实时保存箱内设定温度、实际温度、高、低温报警温度、输入电压、环温等数据，且可通过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USB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数据接口端口导出全部数据，格式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excel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和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PDF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可选，实现数据的可追溯性；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21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、标配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RS485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数据接口，可同计算机网线连接，实现数据通讯；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22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、选配物联，能够在手机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app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上实时的查看箱内温度、设定温度、高低温报警温度、各种报警记录、以及开关门等事件记录。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23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、具有留言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/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记事本功能，方便多用户共用一台冰箱时，相互之间留言，以及自己创建记事本，备忘，可实现无纸办公；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24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、具有数据上传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/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下载功能，可以通过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USB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接口上传和下载箱内温度数据、报警记录以及事件记录等；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25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、具有参数自动配置功能，可通过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USB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接口上传和下载配置文件，将一台冰箱的设置参数和数据等信息复制到其它冰箱；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26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、具有事件记录功能，产品能够记录开门事件、密码修改、设置修改、账户登录等信息，且所有记录信息能够下载到电脑上，实现数据分析存档；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27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、标配单机版样本管理功能，可对大类样本存放位置和数量进行统计、管理；</w:t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15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28</w:t>
            </w: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 xml:space="preserve">、选配可升降托盘，在冰箱存放样本时可进行临时存放；                                                                                   </w:t>
            </w:r>
          </w:p>
          <w:p w14:paraId="14A4B28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Style w:val="16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 xml:space="preserve">29 、配置清单：主机标配1套 ；合格证及使用说明书1套，维保卡1套。     </w:t>
            </w:r>
          </w:p>
        </w:tc>
      </w:tr>
      <w:tr w14:paraId="657331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0" w:type="dxa"/>
            <w:vAlign w:val="center"/>
          </w:tcPr>
          <w:p w14:paraId="5E4823D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6</w:t>
            </w:r>
          </w:p>
        </w:tc>
        <w:tc>
          <w:tcPr>
            <w:tcW w:w="1144" w:type="dxa"/>
            <w:vAlign w:val="center"/>
          </w:tcPr>
          <w:p w14:paraId="76F004A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台式恒温摇床</w:t>
            </w:r>
          </w:p>
        </w:tc>
        <w:tc>
          <w:tcPr>
            <w:tcW w:w="12120" w:type="dxa"/>
            <w:shd w:val="clear" w:color="auto" w:fill="auto"/>
            <w:vAlign w:val="center"/>
          </w:tcPr>
          <w:p w14:paraId="056DFB5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1、采用微电脑控制温度和振荡频率，带有定时功能；内置断电保护功能,可在电源正常供电后自动恢复运转。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2、压缩机和循环风扇等</w:t>
            </w:r>
            <w:r>
              <w:rPr>
                <w:rStyle w:val="17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稳定、耐用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，环保无氟制冷剂。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3、低散热直流电机，启动转矩大，调速宽、免保养、突破现有国产摇床无法长时间连续运行的缺陷。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4、设有门开关，箱门开启时，微风循环、加热和摇床自动停止，无温度过冲之弊。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5、 独特控制转速电路，确保摇床平稳启动，并能防止液体溅出而造成仪器损坏。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6、独立限温报警系统，超过限制温度后自动切断加热，保证安全运行不发生意外。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7、循环风扇速度大小自动控制，可避免试验过程中，由于循环风扇过快而造成的样品挥发。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8、可配RS-485接口和USB数据转移接口（U盘），通过连接电脑监测温度、转速、时间和报警。（选配）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9、振荡频率：40~300 rpm。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10、振幅≥20mm。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11、控制器：液晶控制器。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12、控温范围 4～65℃（环境温度降20℃）。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13、温度分辨率：0.1℃。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14、输入功率：≥1300W。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15、标准配置：万能弹簧夹。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16、托盘尺寸：W×D(mm) 450×450。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17、定时范围：0～5999min。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18、可放置三角烧瓶夹数量:（单层）, 50(ml) 49只、100(ml) 36只、250(ml) 18只、500(ml) 16只、1000(ml) 9只、2000(ml) 4只</w:t>
            </w:r>
          </w:p>
        </w:tc>
      </w:tr>
      <w:tr w14:paraId="06A7DF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0" w:type="dxa"/>
            <w:vAlign w:val="center"/>
          </w:tcPr>
          <w:p w14:paraId="5D389F0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7</w:t>
            </w:r>
          </w:p>
        </w:tc>
        <w:tc>
          <w:tcPr>
            <w:tcW w:w="1144" w:type="dxa"/>
            <w:vAlign w:val="center"/>
          </w:tcPr>
          <w:p w14:paraId="14E7BE0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超声波清洗机（带制冷）</w:t>
            </w:r>
          </w:p>
        </w:tc>
        <w:tc>
          <w:tcPr>
            <w:tcW w:w="12120" w:type="dxa"/>
            <w:shd w:val="clear" w:color="auto" w:fill="auto"/>
            <w:vAlign w:val="center"/>
          </w:tcPr>
          <w:p w14:paraId="69032A4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1、容量：≥30L；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2、超声波频率：40KHz；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3、超声波功率：≥720W（≥</w:t>
            </w:r>
            <w:r>
              <w:rPr>
                <w:rStyle w:val="18"/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12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枚震头）；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4、加热功率：1000W；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5、内槽材质：SUS304不锈钢；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6、内槽尺寸：≥500*300*200mm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7、时间控制：1-99分钟可调；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8、温度控制：常温-80℃；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9、配置有进排水阀；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10、功能：时间、温度可调、功率可调、数控双显、脱气、扫频；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11、制冷装置部分：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11.1 容积≥5L；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11.2 控温范围：负20℃-常温；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11.3 额定流量：10L/min；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11.4 冷槽规格：φ220*180mm；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11.5 杨程：4-6m；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11.6 制冷量：1248-319W；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11.7 整机功率：≥1500W；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12、配置：超声波主机、制冷装置主机、电源线、排水四件套、乳胶手套、说明书、合格证、保修卡。</w:t>
            </w:r>
          </w:p>
        </w:tc>
      </w:tr>
      <w:tr w14:paraId="221DD3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0" w:type="dxa"/>
            <w:vAlign w:val="center"/>
          </w:tcPr>
          <w:p w14:paraId="677AC83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8</w:t>
            </w:r>
          </w:p>
        </w:tc>
        <w:tc>
          <w:tcPr>
            <w:tcW w:w="1144" w:type="dxa"/>
            <w:vAlign w:val="center"/>
          </w:tcPr>
          <w:p w14:paraId="57B9F3F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制冰机</w:t>
            </w:r>
          </w:p>
        </w:tc>
        <w:tc>
          <w:tcPr>
            <w:tcW w:w="12120" w:type="dxa"/>
            <w:shd w:val="clear" w:color="auto" w:fill="auto"/>
            <w:vAlign w:val="center"/>
          </w:tcPr>
          <w:p w14:paraId="48B0508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1、具有缺水提示功能；</w:t>
            </w:r>
          </w:p>
          <w:p w14:paraId="79801F4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2、具有智能预约功能；</w:t>
            </w:r>
          </w:p>
          <w:p w14:paraId="417ED50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3、具有自动清洗功能；</w:t>
            </w:r>
          </w:p>
          <w:p w14:paraId="4A3A4EF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4、具有厚度可调功能。</w:t>
            </w:r>
          </w:p>
          <w:p w14:paraId="3890FE9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5、采用双重进水方式：接饮用自来水或接桶装水。</w:t>
            </w:r>
          </w:p>
          <w:p w14:paraId="7671B78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6、单次出冰数量：≥78颗；</w:t>
            </w:r>
          </w:p>
          <w:p w14:paraId="2341718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7、储存冰量：≥12公斤；</w:t>
            </w:r>
          </w:p>
          <w:p w14:paraId="11AE0FD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8、冷却方式：风冷；</w:t>
            </w:r>
          </w:p>
          <w:p w14:paraId="1C867A4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9、日均产量：≥50公斤。</w:t>
            </w:r>
          </w:p>
          <w:p w14:paraId="2B78429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10、功率：≥300W。</w:t>
            </w:r>
          </w:p>
        </w:tc>
      </w:tr>
      <w:tr w14:paraId="5652A6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6" w:hRule="atLeast"/>
          <w:jc w:val="center"/>
        </w:trPr>
        <w:tc>
          <w:tcPr>
            <w:tcW w:w="730" w:type="dxa"/>
            <w:vAlign w:val="center"/>
          </w:tcPr>
          <w:p w14:paraId="087F09E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9</w:t>
            </w:r>
          </w:p>
        </w:tc>
        <w:tc>
          <w:tcPr>
            <w:tcW w:w="1144" w:type="dxa"/>
            <w:vAlign w:val="center"/>
          </w:tcPr>
          <w:p w14:paraId="4AA89C1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电子天平</w:t>
            </w:r>
          </w:p>
        </w:tc>
        <w:tc>
          <w:tcPr>
            <w:tcW w:w="12120" w:type="dxa"/>
            <w:shd w:val="clear" w:color="auto" w:fill="auto"/>
            <w:vAlign w:val="center"/>
          </w:tcPr>
          <w:p w14:paraId="2FE75BC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1、量程范围：0-600g;</w:t>
            </w:r>
          </w:p>
          <w:p w14:paraId="6219333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2、重复性误差：±0.02g；</w:t>
            </w:r>
          </w:p>
          <w:p w14:paraId="30A924F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3、精度：0.01g；</w:t>
            </w:r>
          </w:p>
          <w:p w14:paraId="0395E80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4、稳定时间：≤1S；</w:t>
            </w:r>
          </w:p>
          <w:p w14:paraId="6DCAEC9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5、传感器：激光工艺应变片传感器；</w:t>
            </w:r>
          </w:p>
          <w:p w14:paraId="5E1535C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6、供电模式：支持干电池/插电；                                                                                                                                                                     7、具去皮、自校、计数、故障显示功能；                                                                                                                                             8、内置水平泡与调节脚。</w:t>
            </w:r>
          </w:p>
        </w:tc>
      </w:tr>
    </w:tbl>
    <w:p w14:paraId="557A6E6D">
      <w:pPr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kern w:val="0"/>
          <w:sz w:val="21"/>
          <w:szCs w:val="21"/>
          <w:u w:val="none"/>
          <w:lang w:val="en-US" w:eastAsia="zh-CN" w:bidi="ar"/>
        </w:rPr>
      </w:pPr>
    </w:p>
    <w:sectPr>
      <w:footerReference r:id="rId3" w:type="default"/>
      <w:footerReference r:id="rId4" w:type="even"/>
      <w:pgSz w:w="16840" w:h="11900" w:orient="landscape"/>
      <w:pgMar w:top="1701" w:right="1474" w:bottom="1701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Times New Roman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altName w:val="Noto Sans Syriac Eastern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Noto Sans Syriac Eastern">
    <w:panose1 w:val="02040503050306020203"/>
    <w:charset w:val="86"/>
    <w:family w:val="auto"/>
    <w:pitch w:val="default"/>
    <w:sig w:usb0="00000000" w:usb1="00000000" w:usb2="00000080" w:usb3="00000000" w:csb0="203E0161" w:csb1="D7FF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文泉驿微米黑">
    <w:panose1 w:val="020B0606030804020204"/>
    <w:charset w:val="86"/>
    <w:family w:val="auto"/>
    <w:pitch w:val="default"/>
    <w:sig w:usb0="E10002EF" w:usb1="6BDFFCFB" w:usb2="00800036" w:usb3="00000000" w:csb0="603E019F" w:csb1="DFD70000"/>
  </w:font>
  <w:font w:name="Wingdings 3">
    <w:panose1 w:val="050401020108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2CA8C3">
    <w:pPr>
      <w:pStyle w:val="4"/>
      <w:jc w:val="right"/>
      <w:rPr>
        <w:rFonts w:hint="default" w:ascii="Times New Roman" w:hAnsi="Times New Roman" w:cs="Times New Roman" w:eastAsiaTheme="minorEastAsia"/>
        <w:sz w:val="28"/>
        <w:szCs w:val="28"/>
        <w:lang w:eastAsia="zh-CN"/>
      </w:rPr>
    </w:pPr>
    <w:r>
      <w:rPr>
        <w:rFonts w:hint="default" w:ascii="Times New Roman" w:hAnsi="Times New Roman" w:cs="Times New Roman"/>
        <w:sz w:val="28"/>
        <w:szCs w:val="28"/>
        <w:lang w:eastAsia="zh-CN"/>
      </w:rPr>
      <w:t>—</w:t>
    </w:r>
    <w:r>
      <w:rPr>
        <w:rFonts w:hint="default" w:ascii="Times New Roman" w:hAnsi="Times New Roman" w:cs="Times New Roman"/>
        <w:sz w:val="28"/>
        <w:szCs w:val="28"/>
        <w:lang w:val="en-US" w:eastAsia="zh-CN"/>
      </w:rPr>
      <w:t xml:space="preserve"> </w:t>
    </w:r>
    <w:r>
      <w:rPr>
        <w:rFonts w:hint="default" w:ascii="Times New Roman" w:hAnsi="Times New Roman" w:cs="Times New Roman"/>
        <w:sz w:val="28"/>
        <w:szCs w:val="28"/>
      </w:rPr>
      <w:fldChar w:fldCharType="begin"/>
    </w:r>
    <w:r>
      <w:rPr>
        <w:rFonts w:hint="default" w:ascii="Times New Roman" w:hAnsi="Times New Roman" w:cs="Times New Roman"/>
        <w:sz w:val="28"/>
        <w:szCs w:val="28"/>
      </w:rPr>
      <w:instrText xml:space="preserve"> PAGE  \* MERGEFORMAT </w:instrText>
    </w:r>
    <w:r>
      <w:rPr>
        <w:rFonts w:hint="default" w:ascii="Times New Roman" w:hAnsi="Times New Roman" w:cs="Times New Roman"/>
        <w:sz w:val="28"/>
        <w:szCs w:val="28"/>
      </w:rPr>
      <w:fldChar w:fldCharType="separate"/>
    </w:r>
    <w:r>
      <w:rPr>
        <w:rFonts w:hint="default" w:ascii="Times New Roman" w:hAnsi="Times New Roman" w:cs="Times New Roman"/>
        <w:sz w:val="28"/>
        <w:szCs w:val="28"/>
      </w:rPr>
      <w:t>1</w:t>
    </w:r>
    <w:r>
      <w:rPr>
        <w:rFonts w:hint="default" w:ascii="Times New Roman" w:hAnsi="Times New Roman" w:cs="Times New Roman"/>
        <w:sz w:val="28"/>
        <w:szCs w:val="28"/>
      </w:rPr>
      <w:fldChar w:fldCharType="end"/>
    </w:r>
    <w:r>
      <w:rPr>
        <w:rFonts w:hint="default" w:ascii="Times New Roman" w:hAnsi="Times New Roman" w:cs="Times New Roman"/>
        <w:sz w:val="28"/>
        <w:szCs w:val="28"/>
        <w:lang w:val="en-US" w:eastAsia="zh-CN"/>
      </w:rPr>
      <w:t xml:space="preserve"> </w:t>
    </w:r>
    <w:r>
      <w:rPr>
        <w:rFonts w:hint="default" w:ascii="Times New Roman" w:hAnsi="Times New Roman" w:cs="Times New Roman"/>
        <w:sz w:val="28"/>
        <w:szCs w:val="28"/>
        <w:lang w:eastAsia="zh-CN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9E7717">
    <w:pPr>
      <w:pStyle w:val="4"/>
      <w:jc w:val="left"/>
    </w:pPr>
    <w:r>
      <w:rPr>
        <w:rFonts w:hint="default" w:ascii="Times New Roman" w:hAnsi="Times New Roman" w:cs="Times New Roman"/>
        <w:sz w:val="28"/>
        <w:szCs w:val="28"/>
        <w:lang w:eastAsia="zh-CN"/>
      </w:rPr>
      <w:t>—</w:t>
    </w:r>
    <w:r>
      <w:rPr>
        <w:rFonts w:hint="default" w:ascii="Times New Roman" w:hAnsi="Times New Roman" w:cs="Times New Roman"/>
        <w:sz w:val="28"/>
        <w:szCs w:val="28"/>
        <w:lang w:val="en-US" w:eastAsia="zh-CN"/>
      </w:rPr>
      <w:t xml:space="preserve"> </w:t>
    </w:r>
    <w:r>
      <w:rPr>
        <w:rFonts w:hint="default" w:ascii="Times New Roman" w:hAnsi="Times New Roman" w:cs="Times New Roman"/>
        <w:sz w:val="28"/>
        <w:szCs w:val="28"/>
      </w:rPr>
      <w:fldChar w:fldCharType="begin"/>
    </w:r>
    <w:r>
      <w:rPr>
        <w:rFonts w:hint="default" w:ascii="Times New Roman" w:hAnsi="Times New Roman" w:cs="Times New Roman"/>
        <w:sz w:val="28"/>
        <w:szCs w:val="28"/>
      </w:rPr>
      <w:instrText xml:space="preserve"> PAGE  \* MERGEFORMAT </w:instrText>
    </w:r>
    <w:r>
      <w:rPr>
        <w:rFonts w:hint="default" w:ascii="Times New Roman" w:hAnsi="Times New Roman" w:cs="Times New Roman"/>
        <w:sz w:val="28"/>
        <w:szCs w:val="28"/>
      </w:rPr>
      <w:fldChar w:fldCharType="separate"/>
    </w:r>
    <w:r>
      <w:rPr>
        <w:rFonts w:hint="default" w:ascii="Times New Roman" w:hAnsi="Times New Roman" w:cs="Times New Roman"/>
        <w:sz w:val="28"/>
        <w:szCs w:val="28"/>
      </w:rPr>
      <w:t>1</w:t>
    </w:r>
    <w:r>
      <w:rPr>
        <w:rFonts w:hint="default" w:ascii="Times New Roman" w:hAnsi="Times New Roman" w:cs="Times New Roman"/>
        <w:sz w:val="28"/>
        <w:szCs w:val="28"/>
      </w:rPr>
      <w:fldChar w:fldCharType="end"/>
    </w:r>
    <w:r>
      <w:rPr>
        <w:rFonts w:hint="default" w:ascii="Times New Roman" w:hAnsi="Times New Roman" w:cs="Times New Roman"/>
        <w:sz w:val="28"/>
        <w:szCs w:val="28"/>
        <w:lang w:val="en-US" w:eastAsia="zh-CN"/>
      </w:rPr>
      <w:t xml:space="preserve"> </w:t>
    </w:r>
    <w:r>
      <w:rPr>
        <w:rFonts w:hint="default" w:ascii="Times New Roman" w:hAnsi="Times New Roman" w:cs="Times New Roman"/>
        <w:sz w:val="28"/>
        <w:szCs w:val="28"/>
        <w:lang w:eastAsia="zh-CN"/>
      </w:rPr>
      <w:t>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3"/>
  <w:bordersDoNotSurroundHeader w:val="0"/>
  <w:bordersDoNotSurroundFooter w:val="0"/>
  <w:documentProtection w:enforcement="0"/>
  <w:defaultTabStop w:val="420"/>
  <w:evenAndOddHeaders w:val="1"/>
  <w:drawingGridHorizontalSpacing w:val="100"/>
  <w:drawingGridVerticalSpacing w:val="290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dmNzQyMDY2ZDI1NzJlOTczMTcyMzNjYWQyZDdmYzkifQ=="/>
  </w:docVars>
  <w:rsids>
    <w:rsidRoot w:val="007D60BF"/>
    <w:rsid w:val="004554C3"/>
    <w:rsid w:val="007D60BF"/>
    <w:rsid w:val="00AE4DE2"/>
    <w:rsid w:val="00F65DB3"/>
    <w:rsid w:val="03994125"/>
    <w:rsid w:val="048D50E2"/>
    <w:rsid w:val="049B03EA"/>
    <w:rsid w:val="05740463"/>
    <w:rsid w:val="05E15B30"/>
    <w:rsid w:val="088C4244"/>
    <w:rsid w:val="0C2C642C"/>
    <w:rsid w:val="0D7670D9"/>
    <w:rsid w:val="0E3B2796"/>
    <w:rsid w:val="0F900551"/>
    <w:rsid w:val="0FA2515D"/>
    <w:rsid w:val="112F6A5E"/>
    <w:rsid w:val="11D33AEC"/>
    <w:rsid w:val="19E74FC4"/>
    <w:rsid w:val="1A91676A"/>
    <w:rsid w:val="1D305121"/>
    <w:rsid w:val="1D641613"/>
    <w:rsid w:val="1EE76B59"/>
    <w:rsid w:val="1FEF34E8"/>
    <w:rsid w:val="226A7BEE"/>
    <w:rsid w:val="23BD2DF7"/>
    <w:rsid w:val="23DC005E"/>
    <w:rsid w:val="24105A72"/>
    <w:rsid w:val="2470392A"/>
    <w:rsid w:val="298D5434"/>
    <w:rsid w:val="2A904C4B"/>
    <w:rsid w:val="2DE4113B"/>
    <w:rsid w:val="2F9FD1BF"/>
    <w:rsid w:val="2FA1413C"/>
    <w:rsid w:val="2FFE1AFE"/>
    <w:rsid w:val="30B43325"/>
    <w:rsid w:val="313A0205"/>
    <w:rsid w:val="31511B31"/>
    <w:rsid w:val="31977328"/>
    <w:rsid w:val="31C47A64"/>
    <w:rsid w:val="33A54B5B"/>
    <w:rsid w:val="35631C05"/>
    <w:rsid w:val="356A20D0"/>
    <w:rsid w:val="36681030"/>
    <w:rsid w:val="39016DA2"/>
    <w:rsid w:val="3BFB25CD"/>
    <w:rsid w:val="3C3C22F6"/>
    <w:rsid w:val="3C3FEA74"/>
    <w:rsid w:val="3CBE7E47"/>
    <w:rsid w:val="3D946210"/>
    <w:rsid w:val="3F437FF9"/>
    <w:rsid w:val="3FCEF33C"/>
    <w:rsid w:val="3FF4B7D6"/>
    <w:rsid w:val="403D1500"/>
    <w:rsid w:val="40BC1AD2"/>
    <w:rsid w:val="4337418C"/>
    <w:rsid w:val="48AF542E"/>
    <w:rsid w:val="4A804160"/>
    <w:rsid w:val="4D404AB9"/>
    <w:rsid w:val="4DAE002E"/>
    <w:rsid w:val="4E4235D8"/>
    <w:rsid w:val="4E5B0158"/>
    <w:rsid w:val="4E8D690A"/>
    <w:rsid w:val="4ED51D3E"/>
    <w:rsid w:val="504F41BC"/>
    <w:rsid w:val="53FB6936"/>
    <w:rsid w:val="55FC5ED5"/>
    <w:rsid w:val="55FF5DA8"/>
    <w:rsid w:val="560863BD"/>
    <w:rsid w:val="56DB8934"/>
    <w:rsid w:val="58B450BB"/>
    <w:rsid w:val="590D09AC"/>
    <w:rsid w:val="59B51CBE"/>
    <w:rsid w:val="5BFB4FA6"/>
    <w:rsid w:val="5DCFA593"/>
    <w:rsid w:val="5ED658C6"/>
    <w:rsid w:val="5F8FB9FB"/>
    <w:rsid w:val="5FB509EB"/>
    <w:rsid w:val="60C82547"/>
    <w:rsid w:val="624C6986"/>
    <w:rsid w:val="62D61B01"/>
    <w:rsid w:val="634D5977"/>
    <w:rsid w:val="63B67295"/>
    <w:rsid w:val="64CF7545"/>
    <w:rsid w:val="667D6001"/>
    <w:rsid w:val="675C7C66"/>
    <w:rsid w:val="679D1C9E"/>
    <w:rsid w:val="69E3037E"/>
    <w:rsid w:val="6B3D425E"/>
    <w:rsid w:val="6BE75C61"/>
    <w:rsid w:val="6BEF49F1"/>
    <w:rsid w:val="6D1234C8"/>
    <w:rsid w:val="6D53237F"/>
    <w:rsid w:val="6DFB8276"/>
    <w:rsid w:val="6DFEA2A3"/>
    <w:rsid w:val="6E9F3C12"/>
    <w:rsid w:val="6F1E6BBB"/>
    <w:rsid w:val="6F7F4070"/>
    <w:rsid w:val="6FFF6A9B"/>
    <w:rsid w:val="703E2602"/>
    <w:rsid w:val="70B568E4"/>
    <w:rsid w:val="71BD600F"/>
    <w:rsid w:val="72034F50"/>
    <w:rsid w:val="7214555C"/>
    <w:rsid w:val="72481D59"/>
    <w:rsid w:val="72BE0208"/>
    <w:rsid w:val="73FB6682"/>
    <w:rsid w:val="73FB7839"/>
    <w:rsid w:val="75BF151B"/>
    <w:rsid w:val="777E4B44"/>
    <w:rsid w:val="790663F7"/>
    <w:rsid w:val="7A344F23"/>
    <w:rsid w:val="7A75A6AE"/>
    <w:rsid w:val="7AB40A41"/>
    <w:rsid w:val="7ADF5C87"/>
    <w:rsid w:val="7BBCA253"/>
    <w:rsid w:val="7BCD3C69"/>
    <w:rsid w:val="7BDF976B"/>
    <w:rsid w:val="7BFBA04E"/>
    <w:rsid w:val="7BFFF1CB"/>
    <w:rsid w:val="7C151C74"/>
    <w:rsid w:val="7D7EC08E"/>
    <w:rsid w:val="7DE37B5E"/>
    <w:rsid w:val="7EE7F45D"/>
    <w:rsid w:val="7F7FF8E8"/>
    <w:rsid w:val="7F9B42D6"/>
    <w:rsid w:val="7F9EC7A3"/>
    <w:rsid w:val="7FF12A3F"/>
    <w:rsid w:val="7FF6972B"/>
    <w:rsid w:val="7FF7806D"/>
    <w:rsid w:val="7FFD6400"/>
    <w:rsid w:val="8E7DCB19"/>
    <w:rsid w:val="8FDE3763"/>
    <w:rsid w:val="96FFA0E3"/>
    <w:rsid w:val="9DFFFC3B"/>
    <w:rsid w:val="9FCF28CE"/>
    <w:rsid w:val="AE17A7B7"/>
    <w:rsid w:val="B31AA68D"/>
    <w:rsid w:val="B31E7195"/>
    <w:rsid w:val="B3FDF0EF"/>
    <w:rsid w:val="B56B9AFC"/>
    <w:rsid w:val="B97F9B99"/>
    <w:rsid w:val="BA97B964"/>
    <w:rsid w:val="BE6E8D97"/>
    <w:rsid w:val="CAEF08ED"/>
    <w:rsid w:val="CF7E3840"/>
    <w:rsid w:val="DDF79DF6"/>
    <w:rsid w:val="DEFD0FAE"/>
    <w:rsid w:val="DFCD08F4"/>
    <w:rsid w:val="DFF9E161"/>
    <w:rsid w:val="DFFD11D7"/>
    <w:rsid w:val="DFFF85DA"/>
    <w:rsid w:val="E7F7EF28"/>
    <w:rsid w:val="EB3D206B"/>
    <w:rsid w:val="EBFF9DD8"/>
    <w:rsid w:val="EC57F510"/>
    <w:rsid w:val="ED8F5479"/>
    <w:rsid w:val="EEDF9534"/>
    <w:rsid w:val="EFFBB3D8"/>
    <w:rsid w:val="EFFFF634"/>
    <w:rsid w:val="F4BB72D0"/>
    <w:rsid w:val="F7B62141"/>
    <w:rsid w:val="F7CE2A46"/>
    <w:rsid w:val="F7F40D54"/>
    <w:rsid w:val="F7F53668"/>
    <w:rsid w:val="F7FF855B"/>
    <w:rsid w:val="F8BD9FE8"/>
    <w:rsid w:val="FAFA60D2"/>
    <w:rsid w:val="FBBB5FD4"/>
    <w:rsid w:val="FDA5907A"/>
    <w:rsid w:val="FE7D08B8"/>
    <w:rsid w:val="FEAF0A13"/>
    <w:rsid w:val="FEC35383"/>
    <w:rsid w:val="FFD55C1F"/>
    <w:rsid w:val="FFF3DA81"/>
    <w:rsid w:val="FFFB412B"/>
    <w:rsid w:val="FFFBF9E9"/>
    <w:rsid w:val="FFFF1E04"/>
    <w:rsid w:val="FFFF9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autoRedefine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autoRedefine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10">
    <w:name w:val="Default Paragraph Font"/>
    <w:autoRedefine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autoRedefine/>
    <w:semiHidden/>
    <w:unhideWhenUsed/>
    <w:qFormat/>
    <w:uiPriority w:val="9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mbria" w:hAnsi="Cambria" w:eastAsia="宋体" w:cs="宋体"/>
      <w:b/>
      <w:bCs/>
      <w:sz w:val="32"/>
      <w:szCs w:val="32"/>
    </w:rPr>
  </w:style>
  <w:style w:type="table" w:styleId="9">
    <w:name w:val="Table Grid"/>
    <w:basedOn w:val="8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FollowedHyperlink"/>
    <w:basedOn w:val="10"/>
    <w:autoRedefine/>
    <w:semiHidden/>
    <w:unhideWhenUsed/>
    <w:qFormat/>
    <w:uiPriority w:val="99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styleId="12">
    <w:name w:val="Hyperlink"/>
    <w:basedOn w:val="10"/>
    <w:autoRedefine/>
    <w:semiHidden/>
    <w:unhideWhenUsed/>
    <w:qFormat/>
    <w:uiPriority w:val="99"/>
    <w:rPr>
      <w:rFonts w:hint="eastAsia" w:ascii="宋体" w:hAnsi="宋体" w:eastAsia="宋体" w:cs="宋体"/>
      <w:color w:val="000000"/>
      <w:sz w:val="18"/>
      <w:szCs w:val="18"/>
      <w:u w:val="none"/>
    </w:rPr>
  </w:style>
  <w:style w:type="paragraph" w:customStyle="1" w:styleId="13">
    <w:name w:val="正文1"/>
    <w:autoRedefine/>
    <w:qFormat/>
    <w:uiPriority w:val="0"/>
    <w:pPr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styleId="14">
    <w:name w:val="List Paragraph"/>
    <w:basedOn w:val="1"/>
    <w:qFormat/>
    <w:uiPriority w:val="34"/>
    <w:pPr>
      <w:ind w:firstLine="420" w:firstLineChars="200"/>
    </w:pPr>
    <w:rPr>
      <w:rFonts w:ascii="Calibri" w:hAnsi="Calibri" w:eastAsia="宋体" w:cs="Times New Roman"/>
      <w:szCs w:val="22"/>
    </w:rPr>
  </w:style>
  <w:style w:type="character" w:customStyle="1" w:styleId="15">
    <w:name w:val="font11"/>
    <w:basedOn w:val="10"/>
    <w:qFormat/>
    <w:uiPriority w:val="0"/>
    <w:rPr>
      <w:rFonts w:ascii="Arial" w:hAnsi="Arial" w:cs="Arial"/>
      <w:color w:val="000000"/>
      <w:sz w:val="22"/>
      <w:szCs w:val="22"/>
      <w:u w:val="none"/>
    </w:rPr>
  </w:style>
  <w:style w:type="character" w:customStyle="1" w:styleId="16">
    <w:name w:val="font21"/>
    <w:basedOn w:val="10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7">
    <w:name w:val="font31"/>
    <w:basedOn w:val="10"/>
    <w:qFormat/>
    <w:uiPriority w:val="0"/>
    <w:rPr>
      <w:rFonts w:hint="eastAsia" w:ascii="宋体" w:hAnsi="宋体" w:eastAsia="宋体" w:cs="宋体"/>
      <w:color w:val="FF0000"/>
      <w:sz w:val="22"/>
      <w:szCs w:val="22"/>
      <w:u w:val="none"/>
    </w:rPr>
  </w:style>
  <w:style w:type="character" w:customStyle="1" w:styleId="18">
    <w:name w:val="font41"/>
    <w:basedOn w:val="10"/>
    <w:qFormat/>
    <w:uiPriority w:val="0"/>
    <w:rPr>
      <w:rFonts w:hint="default" w:ascii="Arial" w:hAnsi="Arial" w:cs="Arial"/>
      <w:color w:val="FF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天马商贸</Company>
  <Pages>8</Pages>
  <Words>682</Words>
  <Characters>695</Characters>
  <Lines>5</Lines>
  <Paragraphs>1</Paragraphs>
  <TotalTime>11</TotalTime>
  <ScaleCrop>false</ScaleCrop>
  <LinksUpToDate>false</LinksUpToDate>
  <CharactersWithSpaces>699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2018-06-05T08:37:00Z</dcterms:created>
  <dc:creator>TMUser</dc:creator>
  <cp:lastModifiedBy>青林</cp:lastModifiedBy>
  <cp:lastPrinted>2026-10-13T00:47:00Z</cp:lastPrinted>
  <dcterms:modified xsi:type="dcterms:W3CDTF">2026-10-12T17:09:44Z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4D891B91FC6E46AEB3EBD982806F0E3B_13</vt:lpwstr>
  </property>
  <property fmtid="{D5CDD505-2E9C-101B-9397-08002B2CF9AE}" pid="4" name="KSOTemplateDocerSaveRecord">
    <vt:lpwstr>eyJoZGlkIjoiZDdmNzQyMDY2ZDI1NzJlOTczMTcyMzNjYWQyZDdmYzkiLCJ1c2VySWQiOiIxMTU0NzQ1NzUyIn0=</vt:lpwstr>
  </property>
</Properties>
</file>